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85"/>
        <w:gridCol w:w="64"/>
        <w:gridCol w:w="11"/>
        <w:gridCol w:w="334"/>
        <w:gridCol w:w="2000"/>
        <w:gridCol w:w="2268"/>
        <w:gridCol w:w="41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44F0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Kóroki tényező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44F0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Időszakos </w:t>
            </w:r>
            <w:proofErr w:type="spellStart"/>
            <w:r>
              <w:rPr>
                <w:sz w:val="16"/>
                <w:szCs w:val="16"/>
              </w:rPr>
              <w:t>munkaalkalmassági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vizsgálatok</w:t>
            </w:r>
          </w:p>
          <w:p w:rsidR="00000000" w:rsidRDefault="003F44F0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gyakorisága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44F0">
            <w:pPr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arzén és vegyületei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benzol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benzol </w:t>
            </w:r>
            <w:proofErr w:type="spellStart"/>
            <w:r>
              <w:t>nitrovegyületei</w:t>
            </w:r>
            <w:proofErr w:type="spellEnd"/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nitro-benzol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egyéb </w:t>
            </w:r>
            <w:proofErr w:type="spellStart"/>
            <w:r>
              <w:t>nitrovegyületek</w:t>
            </w:r>
            <w:proofErr w:type="spellEnd"/>
          </w:p>
          <w:p w:rsidR="00000000" w:rsidRDefault="003F44F0">
            <w:pPr>
              <w:spacing w:before="40"/>
              <w:ind w:firstLine="0"/>
              <w:jc w:val="left"/>
            </w:pPr>
            <w:r>
              <w:t xml:space="preserve">(pl. </w:t>
            </w:r>
            <w:proofErr w:type="spellStart"/>
            <w:r>
              <w:t>nitro-klór-benzol</w:t>
            </w:r>
            <w:proofErr w:type="spellEnd"/>
            <w:r>
              <w:t xml:space="preserve">, </w:t>
            </w:r>
            <w:proofErr w:type="spellStart"/>
            <w:r>
              <w:t>nitro-</w:t>
            </w:r>
            <w:proofErr w:type="spellEnd"/>
            <w:r>
              <w:br/>
            </w:r>
            <w:r>
              <w:t xml:space="preserve">anilin, </w:t>
            </w:r>
            <w:proofErr w:type="spellStart"/>
            <w:r>
              <w:t>acetanilid</w:t>
            </w:r>
            <w:proofErr w:type="spellEnd"/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benzol </w:t>
            </w:r>
            <w:proofErr w:type="spellStart"/>
            <w:r>
              <w:t>aminovegyületei</w:t>
            </w:r>
            <w:proofErr w:type="spellEnd"/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anilin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egyéb </w:t>
            </w:r>
            <w:proofErr w:type="spellStart"/>
            <w:r>
              <w:t>aminovegyületek</w:t>
            </w:r>
            <w:proofErr w:type="spellEnd"/>
          </w:p>
          <w:p w:rsidR="00000000" w:rsidRDefault="003F44F0">
            <w:pPr>
              <w:spacing w:before="40"/>
              <w:ind w:firstLine="0"/>
              <w:jc w:val="left"/>
            </w:pPr>
            <w:r>
              <w:t xml:space="preserve">(pl. </w:t>
            </w:r>
            <w:proofErr w:type="spellStart"/>
            <w:r>
              <w:t>dimetil-anilin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dekompresszió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sűrített levegőben végzett munka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lásd: a keszon-munkákról szóló 6/1987. (VI. 24.) Eü</w:t>
            </w:r>
            <w:r>
              <w:t>M rendelet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búvármunka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állóvízben, 15 m vízoszlopot nem meghaladó merülésnél, +10 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a vizsgálat helye a </w:t>
            </w:r>
            <w:proofErr w:type="spellStart"/>
            <w:r>
              <w:t>munkahigiénés</w:t>
            </w:r>
            <w:proofErr w:type="spellEnd"/>
            <w:r>
              <w:t xml:space="preserve"> és foglalkozás-egészségügyi szerv által kijelölt </w:t>
            </w:r>
            <w:proofErr w:type="gramStart"/>
            <w:r>
              <w:t>foglalkozás-egészségügyi rendelő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+30 °C vízhőmérséklet esetén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amennyiben egy tényező a fentiekben leírtaktól eltér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amennyiben több tényező egyidejűleg eltér minden századik merülés után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háromhavonként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digitálisz </w:t>
            </w:r>
            <w:proofErr w:type="spellStart"/>
            <w:r>
              <w:t>glikozidok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dimetil-formamid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dioxan</w:t>
            </w:r>
            <w:proofErr w:type="spellEnd"/>
            <w:r>
              <w:t xml:space="preserve"> (</w:t>
            </w:r>
            <w:proofErr w:type="spellStart"/>
            <w:r>
              <w:t>dietilén</w:t>
            </w:r>
            <w:proofErr w:type="spellEnd"/>
            <w:r>
              <w:t xml:space="preserve"> dioxid)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</w:t>
            </w:r>
            <w:r>
              <w:t>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etil-benzol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etilén-oxid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fenol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n-hexán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higany (szervetlen higany és vegyületei)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halothan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68" w:firstLine="0"/>
              <w:jc w:val="left"/>
            </w:pPr>
            <w:proofErr w:type="spellStart"/>
            <w:r>
              <w:t>hőterhelés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68" w:right="68" w:firstLine="0"/>
              <w:jc w:val="left"/>
            </w:pPr>
            <w:r>
              <w:t>Ha a külső levegő hőmérsékletének napi csúcsérté</w:t>
            </w:r>
            <w:r>
              <w:t xml:space="preserve">ke tartósan (legalább egy hétig) meghaladja a 27 </w:t>
            </w:r>
            <w:proofErr w:type="spellStart"/>
            <w:r>
              <w:t>°C-t</w:t>
            </w:r>
            <w:proofErr w:type="spellEnd"/>
            <w:r>
              <w:t>, akkor azokban a munkakörökben, amelyekben az év nyári időszakában a korrigált effektív hőmérséklet átlag értéke eléri vagy meghaladja az egészséget nem veszélyeztető munkavégzés és munkakörülmények ált</w:t>
            </w:r>
            <w:r>
              <w:t>alános egészség-</w:t>
            </w:r>
            <w:r>
              <w:br/>
              <w:t>ügyi követelményeiről szóló 3/2002. (II. 18.) SZCSM–EüM együttes rendelet 2. számú</w:t>
            </w:r>
            <w:r>
              <w:rPr>
                <w:color w:val="FF0000"/>
              </w:rPr>
              <w:t xml:space="preserve"> </w:t>
            </w:r>
            <w:r>
              <w:t>mellékletének 1. számú táblázatában előírt, maximálisan megengedhető értékeket, a vizsgálat hetente végzendő.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ionizáló sugárzás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ipari </w:t>
            </w:r>
            <w:proofErr w:type="spellStart"/>
            <w:r>
              <w:t>roncsolá</w:t>
            </w:r>
            <w:r>
              <w:t>smentes</w:t>
            </w:r>
            <w:proofErr w:type="spellEnd"/>
            <w:r>
              <w:t xml:space="preserve"> anyagvizsgálat, orvosi </w:t>
            </w:r>
            <w:proofErr w:type="spellStart"/>
            <w:r>
              <w:t>rtg</w:t>
            </w:r>
            <w:proofErr w:type="spellEnd"/>
            <w:r>
              <w:t xml:space="preserve">. laboratórium, “C” </w:t>
            </w:r>
            <w:proofErr w:type="spellStart"/>
            <w:r>
              <w:t>típ</w:t>
            </w:r>
            <w:proofErr w:type="spellEnd"/>
            <w:r>
              <w:t>. izotóp laboratórium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gyorsító berendezések, onkológiai sugárkezelés, “B” </w:t>
            </w:r>
            <w:proofErr w:type="spellStart"/>
            <w:r>
              <w:t>típ</w:t>
            </w:r>
            <w:proofErr w:type="spellEnd"/>
            <w:r>
              <w:t>. izotóp laboratórium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“A” </w:t>
            </w:r>
            <w:proofErr w:type="spellStart"/>
            <w:r>
              <w:t>típ</w:t>
            </w:r>
            <w:proofErr w:type="spellEnd"/>
            <w:r>
              <w:t>. izotóp laboratórium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nukleáris létesítményben és sugárzó</w:t>
            </w:r>
            <w:r>
              <w:t xml:space="preserve"> anyagok bányászatában foglalkoztatottak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izocianát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kivéve: csomagolás, raktározás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kadmium és vegyületei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kobalt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krómvegyületek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mangán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metil-bromid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metil-klorid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mikrohullámú sugárzás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nátrium-alumínium-fluorid</w:t>
            </w:r>
            <w:proofErr w:type="spellEnd"/>
            <w:r>
              <w:t xml:space="preserve"> (kriolit)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nikkel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nitrogénoxidul (</w:t>
            </w:r>
            <w:proofErr w:type="spellStart"/>
            <w:r>
              <w:t>dinitrogén</w:t>
            </w:r>
            <w:proofErr w:type="spellEnd"/>
            <w:r>
              <w:t xml:space="preserve"> oxid)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növényvédő szerek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gyártás, formulázás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(valamennyi I. é</w:t>
            </w:r>
            <w:r>
              <w:t>s II. forgalmi kategóriába sorolt szer)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F44F0">
            <w:pPr>
              <w:spacing w:before="40"/>
              <w:ind w:firstLine="0"/>
              <w:jc w:val="left"/>
            </w:pPr>
          </w:p>
          <w:p w:rsidR="00000000" w:rsidRDefault="003F44F0">
            <w:pPr>
              <w:spacing w:before="40"/>
              <w:ind w:firstLine="0"/>
              <w:jc w:val="left"/>
            </w:pPr>
            <w:r>
              <w:t xml:space="preserve">(szerves </w:t>
            </w:r>
            <w:proofErr w:type="spellStart"/>
            <w:r>
              <w:t>foszforsavészterek</w:t>
            </w:r>
            <w:proofErr w:type="spellEnd"/>
            <w:r>
              <w:t>,</w:t>
            </w:r>
          </w:p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karbamátok</w:t>
            </w:r>
            <w:proofErr w:type="spellEnd"/>
            <w:r>
              <w:t>)</w:t>
            </w:r>
          </w:p>
          <w:p w:rsidR="00000000" w:rsidRDefault="003F44F0">
            <w:pPr>
              <w:spacing w:before="40"/>
              <w:ind w:firstLine="0"/>
              <w:jc w:val="left"/>
            </w:pPr>
            <w:r>
              <w:t xml:space="preserve">– a munkába lépéskor </w:t>
            </w:r>
            <w:proofErr w:type="spellStart"/>
            <w:r>
              <w:t>AChE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kiszerelés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félévenként</w:t>
            </w:r>
          </w:p>
        </w:tc>
        <w:tc>
          <w:tcPr>
            <w:tcW w:w="4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kémiai növényvédelmi munkálatok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hígítás, keverés felhordás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egyéni alapszint</w:t>
            </w:r>
          </w:p>
          <w:p w:rsidR="00000000" w:rsidRDefault="003F44F0">
            <w:pPr>
              <w:spacing w:before="40"/>
              <w:ind w:firstLine="0"/>
              <w:jc w:val="left"/>
            </w:pPr>
            <w:r>
              <w:t>meghatározása szükséges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(permetezés) szezonban egyszer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raktározás, szállítás, gépkezelés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laboratóriumi munka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ólom és vegyületei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szelén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rákkeltő vegyi anyagok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külön jogszabályban meghatározott rákkeltő</w:t>
            </w:r>
            <w:r>
              <w:t xml:space="preserve"> anyagok, amelyek e táblázatban másutt nem szerepelnek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szén-diszulfid (szénkéneg)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szén-monoxid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szén-tetraklorid</w:t>
            </w:r>
            <w:proofErr w:type="spellEnd"/>
            <w:r>
              <w:t xml:space="preserve"> (</w:t>
            </w:r>
            <w:proofErr w:type="spellStart"/>
            <w:r>
              <w:t>tetraklór-metán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sztirol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tetraklór-etán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toluol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triklór-etilén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lastRenderedPageBreak/>
              <w:t>trinitro-toluol (</w:t>
            </w:r>
            <w:proofErr w:type="spellStart"/>
            <w:r>
              <w:t>trotyl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tüdőfibrózist</w:t>
            </w:r>
            <w:proofErr w:type="spellEnd"/>
            <w:r>
              <w:t xml:space="preserve"> okozó porok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 w:line="250" w:lineRule="exact"/>
              <w:ind w:right="113" w:firstLine="0"/>
              <w:jc w:val="left"/>
            </w:pPr>
            <w:r>
              <w:t xml:space="preserve">a vizsgálatok gyakoriságát az illetékes fővárosi és </w:t>
            </w:r>
            <w:r w:rsidR="00F75D78">
              <w:t>vár</w:t>
            </w:r>
            <w:bookmarkStart w:id="0" w:name="_GoBack"/>
            <w:bookmarkEnd w:id="0"/>
            <w:r>
              <w:t xml:space="preserve">megyei </w:t>
            </w:r>
            <w:proofErr w:type="gramStart"/>
            <w:r>
              <w:t>kormányhivatal</w:t>
            </w:r>
            <w:proofErr w:type="gramEnd"/>
            <w:r>
              <w:t xml:space="preserve"> mint munkavédelmi hatóság állapíthatja meg, a munkáltató által előzetesen megszerzett, a </w:t>
            </w:r>
            <w:proofErr w:type="spellStart"/>
            <w:r>
              <w:t>munkahigiénés</w:t>
            </w:r>
            <w:proofErr w:type="spellEnd"/>
            <w:r>
              <w:t xml:space="preserve"> </w:t>
            </w:r>
            <w:r>
              <w:t>és foglalkozás-</w:t>
            </w:r>
            <w:r>
              <w:br/>
              <w:t>egészségügyi szerv által kiállított szakvélemény alapján (a szakvéleményhez a por mérési eredmények csatolása szükséges)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az ernyőszűrő állomásokon készített tüdőfelvételek értékelése, ezt követően szükségessé váló klinikai vizsgálatok a </w:t>
            </w:r>
            <w:proofErr w:type="spellStart"/>
            <w:r>
              <w:t>mun</w:t>
            </w:r>
            <w:r>
              <w:t>kahigiénés</w:t>
            </w:r>
            <w:proofErr w:type="spellEnd"/>
            <w:r>
              <w:t xml:space="preserve"> és foglalkozás-egészségügyi szerv szakrendelésén történnek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vanádium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rezgés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kéz/kar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2,5-5 m/s</w:t>
            </w:r>
            <w:r>
              <w:rPr>
                <w:position w:val="10"/>
              </w:rPr>
              <w:t>2</w:t>
            </w:r>
            <w:r>
              <w:t xml:space="preserve"> (férfi)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kétévenként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első ízben a munkába állást követő hatodik hónap után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1,0-2,5 m/s</w:t>
            </w:r>
            <w:r>
              <w:rPr>
                <w:position w:val="10"/>
              </w:rPr>
              <w:t>2</w:t>
            </w:r>
            <w:r>
              <w:t xml:space="preserve"> (sérülékeny csoport)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kétévenként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hideg/nedves munkakörnyezetben évente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egész testre ható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kétévenként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első ízben a munkába állást követő hatodik hónap után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0,5-1,15 m/s</w:t>
            </w:r>
            <w:r>
              <w:rPr>
                <w:position w:val="10"/>
              </w:rPr>
              <w:t>2</w:t>
            </w:r>
            <w:r>
              <w:t xml:space="preserve"> (férfi)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0,5 m/s</w:t>
            </w:r>
            <w:r>
              <w:rPr>
                <w:position w:val="10"/>
              </w:rPr>
              <w:t>2</w:t>
            </w:r>
            <w:r>
              <w:t xml:space="preserve"> alatt (sérülékeny csoport)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kétévenként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hideg/nedves munkakörnyezetben évente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egyedi felment</w:t>
            </w:r>
            <w:r>
              <w:t>és esetén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első ízben a munkába állást megelőzően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vinil-klorid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félévenként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>xilol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13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proofErr w:type="spellStart"/>
            <w:r>
              <w:t>bm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right="56" w:firstLine="0"/>
              <w:jc w:val="left"/>
            </w:pPr>
            <w:r>
              <w:t>zaj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81-85 </w:t>
            </w:r>
            <w:proofErr w:type="spellStart"/>
            <w:r>
              <w:t>dBA</w:t>
            </w:r>
            <w:r>
              <w:rPr>
                <w:position w:val="-12"/>
              </w:rPr>
              <w:t>eq</w:t>
            </w:r>
            <w:proofErr w:type="spellEnd"/>
            <w:r>
              <w:t xml:space="preserve"> közötti zajexpozíció esetén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4 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right="56" w:firstLine="0"/>
              <w:jc w:val="left"/>
            </w:pPr>
            <w:r>
              <w:t>a munkavállaló kérésére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86-90 </w:t>
            </w:r>
            <w:proofErr w:type="spellStart"/>
            <w:r>
              <w:t>dBA</w:t>
            </w:r>
            <w:r>
              <w:rPr>
                <w:position w:val="-12"/>
              </w:rPr>
              <w:t>eq</w:t>
            </w:r>
            <w:proofErr w:type="spellEnd"/>
            <w:r>
              <w:t xml:space="preserve"> közötti zajexpozíció esetén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4 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right="56" w:firstLine="0"/>
              <w:jc w:val="left"/>
            </w:pPr>
            <w:r>
              <w:t xml:space="preserve">halláspanasz </w:t>
            </w:r>
            <w:proofErr w:type="gramStart"/>
            <w:r>
              <w:t>eset</w:t>
            </w:r>
            <w:r>
              <w:t>én soron</w:t>
            </w:r>
            <w:proofErr w:type="gramEnd"/>
            <w:r>
              <w:t xml:space="preserve"> kívül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91-100 </w:t>
            </w:r>
            <w:proofErr w:type="spellStart"/>
            <w:r>
              <w:t>dBA</w:t>
            </w:r>
            <w:r>
              <w:rPr>
                <w:position w:val="-12"/>
              </w:rPr>
              <w:t>eq</w:t>
            </w:r>
            <w:proofErr w:type="spellEnd"/>
            <w:r>
              <w:t>közötti zajexpozíció esetén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2 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right="56" w:firstLine="0"/>
              <w:jc w:val="left"/>
            </w:pPr>
            <w:r>
              <w:t xml:space="preserve">halláspanasz </w:t>
            </w:r>
            <w:proofErr w:type="gramStart"/>
            <w:r>
              <w:t>esetén soron</w:t>
            </w:r>
            <w:proofErr w:type="gramEnd"/>
            <w:r>
              <w:t xml:space="preserve"> kívül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firstLine="0"/>
              <w:jc w:val="left"/>
            </w:pPr>
            <w:r>
              <w:t xml:space="preserve">100 </w:t>
            </w:r>
            <w:proofErr w:type="spellStart"/>
            <w:r>
              <w:t>dBA</w:t>
            </w:r>
            <w:r>
              <w:rPr>
                <w:position w:val="-12"/>
              </w:rPr>
              <w:t>eq</w:t>
            </w:r>
            <w:proofErr w:type="spellEnd"/>
            <w:r>
              <w:t xml:space="preserve"> zajexpozíció felett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firstLine="0"/>
              <w:jc w:val="left"/>
            </w:pPr>
            <w:r>
              <w:t>évenként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44F0">
            <w:pPr>
              <w:spacing w:before="40"/>
              <w:ind w:left="107" w:right="56" w:firstLine="0"/>
              <w:jc w:val="left"/>
            </w:pPr>
            <w:r>
              <w:t xml:space="preserve">halláspanasz </w:t>
            </w:r>
            <w:proofErr w:type="gramStart"/>
            <w:r>
              <w:t>esetén soron</w:t>
            </w:r>
            <w:proofErr w:type="gramEnd"/>
            <w:r>
              <w:t xml:space="preserve"> kívül</w:t>
            </w:r>
          </w:p>
        </w:tc>
      </w:tr>
    </w:tbl>
    <w:p w:rsidR="003F44F0" w:rsidRDefault="003F44F0"/>
    <w:sectPr w:rsidR="003F44F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6C"/>
    <w:rsid w:val="003F44F0"/>
    <w:rsid w:val="007B656C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4237</Characters>
  <Application>Microsoft Office Word</Application>
  <DocSecurity>0</DocSecurity>
  <Lines>169</Lines>
  <Paragraphs>130</Paragraphs>
  <ScaleCrop>false</ScaleCrop>
  <Company>MHK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3</cp:revision>
  <dcterms:created xsi:type="dcterms:W3CDTF">2022-12-29T17:11:00Z</dcterms:created>
  <dcterms:modified xsi:type="dcterms:W3CDTF">2022-12-29T17:12:00Z</dcterms:modified>
</cp:coreProperties>
</file>