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42EC" w14:textId="77777777" w:rsidR="00F71F3B" w:rsidRPr="00880F9A" w:rsidRDefault="00F71F3B" w:rsidP="00F71F3B">
      <w:pPr>
        <w:pStyle w:val="C04"/>
        <w:spacing w:line="240" w:lineRule="auto"/>
        <w:ind w:left="0"/>
        <w:jc w:val="center"/>
        <w:rPr>
          <w:rFonts w:ascii="Times New Roman" w:hAnsi="Times New Roman" w:cs="Times New Roman"/>
          <w:color w:val="auto"/>
          <w:sz w:val="20"/>
        </w:rPr>
      </w:pPr>
      <w:r w:rsidRPr="00880F9A">
        <w:rPr>
          <w:rFonts w:ascii="Times New Roman" w:hAnsi="Times New Roman" w:cs="Times New Roman"/>
          <w:color w:val="auto"/>
          <w:sz w:val="20"/>
        </w:rPr>
        <w:t>TÁJÉKOZTATÓ SZEMÉLYES ADAT KEZELÉSÉRŐL</w:t>
      </w:r>
    </w:p>
    <w:p w14:paraId="31B3395E" w14:textId="77777777" w:rsidR="00F71F3B" w:rsidRPr="00880F9A" w:rsidRDefault="00F71F3B" w:rsidP="00F71F3B">
      <w:pPr>
        <w:pStyle w:val="Bodytext"/>
        <w:spacing w:line="240" w:lineRule="auto"/>
        <w:ind w:left="0"/>
        <w:rPr>
          <w:rFonts w:ascii="Times New Roman" w:hAnsi="Times New Roman" w:cs="Times New Roman"/>
          <w:color w:val="auto"/>
          <w:sz w:val="20"/>
        </w:rPr>
      </w:pPr>
    </w:p>
    <w:p w14:paraId="43AC98A0"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hatóság a hatósági eljárás lefolytatásához személyes adatokat kezel, tekintettel arra, hogy ezek nélkül az ügyfél vagy az eljárás egyéb résztvevője (tanú, szakértő, hatósági tanú, tolmács, szemletárgy birtokosa) nem azonosítható. Ennek megfelelően kizárólag olyan adatok megismerésére, kezelésére kerül sor, amelyek a tényállás tisztázásához elengedhetetlenek. A tényállás tisztázásához tartozik az eljárás szereplőinek azonosítása és a velük való kapcsolattartás is.</w:t>
      </w:r>
    </w:p>
    <w:p w14:paraId="4F6804EC"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hivatásos katasztrófavédelmi szerv hatósági tevékenysége során az adatkezeléseit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6. cikk (1) bekezdés e) pontja alapján az adatkezelő hivatásos katasztrófavédelmi szervre ruházott közhatalmi jogosítvány gyakorlásának keretében végzett feladat végrehajtása érdekében végzi.</w:t>
      </w:r>
    </w:p>
    <w:p w14:paraId="6491A08F"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személyes adatok kezelésére vonatkozó jogalap a tűz elleni védekezésről, a műszaki mentésről és a tűzoltóságról szóló 1996. évi XXXI. törvény 36. § (3) bekezdése, a létesítményi tűzoltóságokra vonatkozó részletes szabályokról szóló 273/2024. (IX. 19.) Korm. rendelet 4. § (3) bekezdés a) vagy b) pontja, képfelvétel, hangfelvétel, kép- és hangfelvétel készítése esetében katasztrófavédelemről és a hozzá kapcsolódó egyes törvények módosításáról szóló 2011. évi CXXVIII. törvény 79/A. § (1) bekezdése.</w:t>
      </w:r>
    </w:p>
    <w:p w14:paraId="41C96B16" w14:textId="77777777" w:rsidR="00F71F3B" w:rsidRPr="00880F9A" w:rsidRDefault="00F71F3B" w:rsidP="00F71F3B">
      <w:pPr>
        <w:pStyle w:val="Bodytext"/>
        <w:spacing w:line="240" w:lineRule="auto"/>
        <w:ind w:left="0"/>
        <w:rPr>
          <w:rFonts w:ascii="Times New Roman" w:hAnsi="Times New Roman" w:cs="Times New Roman"/>
          <w:color w:val="auto"/>
          <w:sz w:val="20"/>
        </w:rPr>
      </w:pPr>
    </w:p>
    <w:p w14:paraId="671DFC5D"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kezelt adatok köre a katasztrófavédelemről és a hozzá kapcsolódó egyes törvények módosításáról szóló 2011. évi CXXVIII. törvény 79. § (1) bekezdése és 79/A. § (1) bekezdése alapján:</w:t>
      </w:r>
    </w:p>
    <w:p w14:paraId="04675FAB"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az ügyfél természetes személyazonosító adatai, lakcíme, elérhetőségi címe, elektronikus levélcíme, telefonszámai,</w:t>
      </w:r>
    </w:p>
    <w:p w14:paraId="0CCDDB78"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az ügyfél adóazonosító jele vagy adószáma,</w:t>
      </w:r>
    </w:p>
    <w:p w14:paraId="506954D9"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az ügyfél számlaszáma, IBAN-száma,</w:t>
      </w:r>
    </w:p>
    <w:p w14:paraId="73E8E2E5"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 xml:space="preserve">a nem természetes személy ügyfél cégjegyzékszáma, nyilvántartási száma, államháztartási egyedi azonosítója, létrejöttének és megszűnésének időpontja, tevékenységi körei, székhelyének címe, elektronikus levélcíme, a digitális államról és a digitális szolgáltatások nyújtásának egyes szabályairól szóló 2023. évi CIII. törvény (a továbbiakban: </w:t>
      </w:r>
      <w:proofErr w:type="spellStart"/>
      <w:r w:rsidRPr="00880F9A">
        <w:rPr>
          <w:rFonts w:ascii="Times New Roman" w:hAnsi="Times New Roman" w:cs="Times New Roman"/>
          <w:color w:val="auto"/>
          <w:sz w:val="20"/>
        </w:rPr>
        <w:t>Dáptv</w:t>
      </w:r>
      <w:proofErr w:type="spellEnd"/>
      <w:r w:rsidRPr="00880F9A">
        <w:rPr>
          <w:rFonts w:ascii="Times New Roman" w:hAnsi="Times New Roman" w:cs="Times New Roman"/>
          <w:color w:val="auto"/>
          <w:sz w:val="20"/>
        </w:rPr>
        <w:t>.) szerinti hivatalos elérhetősége, telefonszáma,</w:t>
      </w:r>
    </w:p>
    <w:p w14:paraId="485551C5"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természetes személy képviselőjének, meghatalmazottjának vagy kapcsolattartójának természetes személyazonosító adatai, lakcíme, elektronikus levélcíme, telefonszáma,</w:t>
      </w:r>
    </w:p>
    <w:p w14:paraId="0C2EBFAC"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a természetes személy ügyfél természetes személy meghatalmazottjának természetes személyazonosító adatai, lakcíme, elektronikus levélcíme, telefonszáma, valamint</w:t>
      </w:r>
    </w:p>
    <w:p w14:paraId="787BD96F"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az üggyel érintett ingatlan természetes személy tulajdonosának természetes személyazonosító adatai, nem természetes személy tulajdonosának cégjegyzékszáma, nyilvántartási száma, államháztartási egyedi azonosítója, létrejöttének és megszűnésének időpontja, tevékenységi körei, székhelyének címe, elektronikus levélcíme, a </w:t>
      </w:r>
      <w:proofErr w:type="spellStart"/>
      <w:r w:rsidRPr="00880F9A">
        <w:rPr>
          <w:rFonts w:ascii="Times New Roman" w:hAnsi="Times New Roman" w:cs="Times New Roman"/>
          <w:color w:val="auto"/>
          <w:sz w:val="20"/>
        </w:rPr>
        <w:t>Dáptv</w:t>
      </w:r>
      <w:proofErr w:type="spellEnd"/>
      <w:r w:rsidRPr="00880F9A">
        <w:rPr>
          <w:rFonts w:ascii="Times New Roman" w:hAnsi="Times New Roman" w:cs="Times New Roman"/>
          <w:color w:val="auto"/>
          <w:sz w:val="20"/>
        </w:rPr>
        <w:t>. szerinti hivatalos elérhetősége, telefonszáma, természetes személy képviselőjének, meghatalmazottjának vagy kapcsolattartójának természetes személyazonosító adatai, lakcíme, elektronikus levélcíme, telefonszáma,</w:t>
      </w:r>
    </w:p>
    <w:p w14:paraId="4251811E"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képfelvétel, hangfelvétel, kép- és hangfelvétel.</w:t>
      </w:r>
    </w:p>
    <w:p w14:paraId="4BD3373C" w14:textId="77777777" w:rsidR="00F71F3B" w:rsidRPr="00880F9A" w:rsidRDefault="00F71F3B" w:rsidP="00F71F3B">
      <w:pPr>
        <w:pStyle w:val="Bodytext"/>
        <w:spacing w:line="240" w:lineRule="auto"/>
        <w:ind w:left="0"/>
        <w:rPr>
          <w:rFonts w:ascii="Times New Roman" w:hAnsi="Times New Roman" w:cs="Times New Roman"/>
          <w:color w:val="auto"/>
          <w:sz w:val="20"/>
        </w:rPr>
      </w:pPr>
    </w:p>
    <w:p w14:paraId="00FAE2C0"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hatóság gondoskodik arról, hogy a törvény által védett titok (a továbbiakban: védett adat) ne kerüljön nyilvánosságra, ne juthasson illetéktelen személy tudomására, és a személyes adatok védelme biztosított legyen.</w:t>
      </w:r>
    </w:p>
    <w:p w14:paraId="33D98D15" w14:textId="77777777" w:rsidR="00F71F3B" w:rsidRPr="00880F9A" w:rsidRDefault="00F71F3B" w:rsidP="00F71F3B">
      <w:pPr>
        <w:pStyle w:val="Bodytext"/>
        <w:spacing w:line="240" w:lineRule="auto"/>
        <w:ind w:left="0"/>
        <w:rPr>
          <w:rFonts w:ascii="Times New Roman" w:hAnsi="Times New Roman" w:cs="Times New Roman"/>
          <w:color w:val="auto"/>
          <w:sz w:val="20"/>
        </w:rPr>
      </w:pPr>
    </w:p>
    <w:p w14:paraId="3C063459"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hatósági eljárás során az általános adatvédelmi rendelet alapján adatkezelőnek minősül az elsőfokú hatóság.</w:t>
      </w:r>
    </w:p>
    <w:p w14:paraId="551317E1"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Megnevezése: ………………………… Vármegyei Katasztrófavédelmi Igazgatóság</w:t>
      </w:r>
    </w:p>
    <w:p w14:paraId="5887F74A"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Székhelye:</w:t>
      </w:r>
    </w:p>
    <w:p w14:paraId="7326C8F1"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Postai címe:</w:t>
      </w:r>
    </w:p>
    <w:p w14:paraId="31F7B771"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Telefonszáma:</w:t>
      </w:r>
    </w:p>
    <w:p w14:paraId="0745477D"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Telefaxszáma:</w:t>
      </w:r>
    </w:p>
    <w:p w14:paraId="07D44D4C"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Adatvédelmi tisztviselőjének postai és elektronikus elérhetősége:</w:t>
      </w:r>
    </w:p>
    <w:p w14:paraId="76A609A3"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Az esetlegesen kiszabott bírságok befizetésének nyomon követése és az ügykövetés, továbbá az ellenőrzés tekintetében az ügyben eljáró első- és másodfokú hatóságon túl a BM Országos Katasztrófavédelmi Főigazgatóság is adatkezelőnek minősül.</w:t>
      </w:r>
    </w:p>
    <w:p w14:paraId="5ACCB8C9" w14:textId="77777777" w:rsidR="00F71F3B" w:rsidRPr="00880F9A" w:rsidRDefault="00F71F3B" w:rsidP="00F71F3B">
      <w:pPr>
        <w:pStyle w:val="Bodytext"/>
        <w:spacing w:line="240" w:lineRule="auto"/>
        <w:ind w:left="0"/>
        <w:rPr>
          <w:rFonts w:ascii="Times New Roman" w:hAnsi="Times New Roman" w:cs="Times New Roman"/>
          <w:color w:val="auto"/>
          <w:sz w:val="20"/>
        </w:rPr>
      </w:pPr>
    </w:p>
    <w:p w14:paraId="7AD9D98C"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Belügyminisztérium Országos Katasztrófavédelmi Főigazgatóság</w:t>
      </w:r>
    </w:p>
    <w:p w14:paraId="127BCA98"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Székhelye: 1149 Budapest, Mogyoródi út 43.</w:t>
      </w:r>
    </w:p>
    <w:p w14:paraId="3217F113"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Postai címe: 1903 Budapest, Pf. 314</w:t>
      </w:r>
    </w:p>
    <w:p w14:paraId="5B884728"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Telefonszáma: (+36-1) 469-4347, (+36-20) 820-0089</w:t>
      </w:r>
    </w:p>
    <w:p w14:paraId="161EC0E5"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Telefaxszáma: (+36-1) 469-4157</w:t>
      </w:r>
    </w:p>
    <w:p w14:paraId="34DAD23B"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Adatvédelmi tisztviselője: dr. Ködmön Diána tű. alezredes (a fenti postacímen, valamint a dpo@katved.gov.hu elektronikus levélcímen elérhető)</w:t>
      </w:r>
    </w:p>
    <w:p w14:paraId="49BFEE62" w14:textId="77777777" w:rsidR="00F71F3B" w:rsidRPr="00880F9A" w:rsidRDefault="00F71F3B" w:rsidP="00F71F3B">
      <w:pPr>
        <w:pStyle w:val="Bodytext"/>
        <w:spacing w:line="240" w:lineRule="auto"/>
        <w:ind w:left="0"/>
        <w:rPr>
          <w:rFonts w:ascii="Times New Roman" w:hAnsi="Times New Roman" w:cs="Times New Roman"/>
          <w:color w:val="auto"/>
          <w:sz w:val="20"/>
        </w:rPr>
      </w:pPr>
    </w:p>
    <w:p w14:paraId="63291458"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 xml:space="preserve">Az adatkezelési idő </w:t>
      </w:r>
    </w:p>
    <w:p w14:paraId="39FE5FA4"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 xml:space="preserve">Az adatkezelő a köziratokról, a közlevéltárakról és a magánlevéltári anyag védelméről szóló 1995. évi LXVI. törvény, valamint a közfeladatot ellátó szervek iratkezelésének általános követelményeiről szóló 335/2005. (XII. 29.) Korm. rendelet előírásai alapján előkészített és mindenkor hatályos iratkezelési szabályzatában meghatározott selejtezési időig őrzi az adott hatósági </w:t>
      </w:r>
      <w:r w:rsidRPr="00880F9A">
        <w:rPr>
          <w:rFonts w:ascii="Times New Roman" w:hAnsi="Times New Roman" w:cs="Times New Roman"/>
          <w:color w:val="auto"/>
          <w:sz w:val="20"/>
        </w:rPr>
        <w:lastRenderedPageBreak/>
        <w:t>eljáráshoz kapcsolódó iratokat, és ezáltal az azokban foglalt személyes adatokat. A selejtezési idő lejártát követően pedig intézkedik azok megsemmisítésére.</w:t>
      </w:r>
    </w:p>
    <w:p w14:paraId="6EA7F117"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 xml:space="preserve">A nem selejtezhető iratokat és ezáltal az azokban foglalt személyes adatokat az adatkezelő a Magyar Nemzeti Levéltár részére történő átadásig kezeli. </w:t>
      </w:r>
    </w:p>
    <w:p w14:paraId="3BD8E961"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kezelt adatokat az adatkezelő külön törvényi felhatalmazás hiányában harmadik személynek nem továbbítja. Törvényi felhatalmazás alapján adattovábbítás történhet pl. a hatóság, bíróság, szakhatóság, belföldi jogsegélyt kérő hatóság részére.</w:t>
      </w:r>
    </w:p>
    <w:p w14:paraId="0B7E08FB"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személyes adatok biztonságát garantálja, hogy az ügyiratokba és az ügykövető rendszerekbe kizárólag az adatkezelőnél hatósági tevékenységet végző, az adott ügyben feladatát tekintve érintett személyek, valamint az ő tevékenységük ellenőrzésére jogosult állománytagok tekinthetnek be. A hatósági ügyek követésére szolgáló nyilvántartásokat az ügyintézők személyhez fűződő jogosultsággal és jelszóval használhatják.</w:t>
      </w:r>
    </w:p>
    <w:p w14:paraId="7D2B3762"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Az adatkezelő adatfeldolgozót nem vesz igénybe, az adatok feldolgozását saját szervezetén belül végzi.</w:t>
      </w:r>
    </w:p>
    <w:p w14:paraId="7DF89F43" w14:textId="77777777" w:rsidR="00F71F3B" w:rsidRPr="00880F9A" w:rsidRDefault="00F71F3B" w:rsidP="00F71F3B">
      <w:pPr>
        <w:pStyle w:val="Bodytext"/>
        <w:spacing w:line="240" w:lineRule="auto"/>
        <w:ind w:left="0"/>
        <w:rPr>
          <w:rFonts w:ascii="Times New Roman" w:hAnsi="Times New Roman" w:cs="Times New Roman"/>
          <w:color w:val="auto"/>
          <w:sz w:val="20"/>
        </w:rPr>
      </w:pPr>
      <w:proofErr w:type="gramStart"/>
      <w:r w:rsidRPr="00880F9A">
        <w:rPr>
          <w:rFonts w:ascii="Times New Roman" w:hAnsi="Times New Roman" w:cs="Times New Roman"/>
          <w:color w:val="auto"/>
          <w:sz w:val="20"/>
        </w:rPr>
        <w:t>Ön</w:t>
      </w:r>
      <w:proofErr w:type="gramEnd"/>
      <w:r w:rsidRPr="00880F9A">
        <w:rPr>
          <w:rFonts w:ascii="Times New Roman" w:hAnsi="Times New Roman" w:cs="Times New Roman"/>
          <w:color w:val="auto"/>
          <w:sz w:val="20"/>
        </w:rPr>
        <w:t xml:space="preserve"> mint érintett, a nyilvántartásban szereplő személyes adatai vonatkozásában:</w:t>
      </w:r>
    </w:p>
    <w:p w14:paraId="4602C680"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Tájékoztatást kérhet személyes adatai kezeléséről, hogy az adatkezelő a tájékoztatóban megjelölt adatokat milyen jogalapon, milyen adatkezelési cél miatt, milyen forrásból, mennyi ideig kezeli, az adatkezelő kinek, mikor, milyen jogszabály alapján, mely személyes adataihoz biztosított hozzáférést, vagy kinek továbbította a személyes adatokat, előfordult-e személyes adatai tekintetében adatvédelmi incidens.</w:t>
      </w:r>
    </w:p>
    <w:p w14:paraId="7385EB66"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Az érintett kérheti, hogy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73A48C28"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Az érintett kérheti az adatkezelőtől személyes adatainak törlését, de ennek teljesítését az adatkezelő a tájékoztatóban szereplő adatkezelések tekintetében, azok kötelező jellegére tekintettel, megtagadhatja.</w:t>
      </w:r>
    </w:p>
    <w:p w14:paraId="0AA1CE26"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 xml:space="preserve">Az érintett kérheti, hogy az adatkezelő korlátozza a tájékoztatóban szereplő adatkezelések valamelyikét, ha </w:t>
      </w:r>
    </w:p>
    <w:p w14:paraId="7C6E45C4"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 xml:space="preserve">vitatja a személyes adatok pontosságát, </w:t>
      </w:r>
    </w:p>
    <w:p w14:paraId="2D7778B9"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az adatkezelés jogellenes, és egyébként ellenzi az adatok törlését,</w:t>
      </w:r>
    </w:p>
    <w:p w14:paraId="5B5F293F"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az adatkezelőnek már nincs szüksége a személyes adatokra adatkezelés céljából, de az érintett kéri azokat jogi igények előterjesztéséhez, érvényesítéséhez vagy védelméhez, vagy</w:t>
      </w:r>
    </w:p>
    <w:p w14:paraId="6CBE4022" w14:textId="77777777" w:rsidR="00F71F3B" w:rsidRPr="00880F9A" w:rsidRDefault="00F71F3B" w:rsidP="00F71F3B">
      <w:pPr>
        <w:pStyle w:val="minusz"/>
        <w:spacing w:line="240" w:lineRule="auto"/>
        <w:ind w:left="0" w:firstLine="0"/>
        <w:rPr>
          <w:rFonts w:ascii="Times New Roman" w:hAnsi="Times New Roman" w:cs="Times New Roman"/>
          <w:color w:val="auto"/>
          <w:sz w:val="20"/>
        </w:rPr>
      </w:pPr>
      <w:r w:rsidRPr="00880F9A">
        <w:rPr>
          <w:rFonts w:ascii="Times New Roman" w:hAnsi="Times New Roman" w:cs="Times New Roman"/>
          <w:color w:val="auto"/>
          <w:sz w:val="20"/>
        </w:rPr>
        <w:t>–</w:t>
      </w:r>
      <w:r w:rsidRPr="00880F9A">
        <w:rPr>
          <w:rFonts w:ascii="Times New Roman" w:hAnsi="Times New Roman" w:cs="Times New Roman"/>
          <w:color w:val="auto"/>
          <w:sz w:val="20"/>
        </w:rPr>
        <w:tab/>
        <w:t>az érintett a </w:t>
      </w:r>
      <w:proofErr w:type="spellStart"/>
      <w:r w:rsidRPr="00880F9A">
        <w:rPr>
          <w:rFonts w:ascii="Times New Roman" w:hAnsi="Times New Roman" w:cs="Times New Roman"/>
          <w:color w:val="auto"/>
          <w:sz w:val="20"/>
        </w:rPr>
        <w:t>lentiek</w:t>
      </w:r>
      <w:proofErr w:type="spellEnd"/>
      <w:r w:rsidRPr="00880F9A">
        <w:rPr>
          <w:rFonts w:ascii="Times New Roman" w:hAnsi="Times New Roman" w:cs="Times New Roman"/>
          <w:color w:val="auto"/>
          <w:sz w:val="20"/>
        </w:rPr>
        <w:t xml:space="preserve"> szerint tiltakozott az adatkezelés ellen.</w:t>
      </w:r>
    </w:p>
    <w:p w14:paraId="59AF47EB"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 xml:space="preserve">A korlátozás ideje alatt az adatkezelő az adatot kizárólag tárolja, így pl. nem törli, módosítja vagy továbbítja azt, csak ha az érintett ehhez hozzájárul, vagy jogi igények előterjesztéséhez vagy más természetes vagy jogi személy jogainak védelme érdekében vagy fontos közérdekből lehet kezelni. </w:t>
      </w:r>
    </w:p>
    <w:p w14:paraId="3466EE0B"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fenti kérelmek ügyintézési határideje 1 hónap, és azok postai úton az adatkezelőként megjelölt hivatásos katasztrófavédelmi szerv Hatósági Osztályának címezve, elektronikus úton e-papír-szolgáltatás igénybevételével nyújthatók be (https://epapir.gov.hu/).</w:t>
      </w:r>
    </w:p>
    <w:p w14:paraId="4AEBC340" w14:textId="77777777" w:rsidR="00F71F3B" w:rsidRPr="00880F9A" w:rsidRDefault="00F71F3B" w:rsidP="00F71F3B">
      <w:pPr>
        <w:pStyle w:val="Bodytext"/>
        <w:spacing w:line="240" w:lineRule="auto"/>
        <w:ind w:left="0"/>
        <w:rPr>
          <w:rFonts w:ascii="Times New Roman" w:hAnsi="Times New Roman" w:cs="Times New Roman"/>
          <w:color w:val="auto"/>
          <w:sz w:val="20"/>
        </w:rPr>
      </w:pPr>
    </w:p>
    <w:p w14:paraId="51AE48FD"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 xml:space="preserve">A tiltakozáshoz való jog keretében az érintett a saját helyzetével kapcsolatos okokból bármikor tiltakozhat az adatkezelés ellen. Ebben az esetben az adatkezelő a személyes adatokat nem kezelheti tovább, </w:t>
      </w:r>
      <w:proofErr w:type="gramStart"/>
      <w:r w:rsidRPr="00880F9A">
        <w:rPr>
          <w:rFonts w:ascii="Times New Roman" w:hAnsi="Times New Roman" w:cs="Times New Roman"/>
          <w:color w:val="auto"/>
          <w:sz w:val="20"/>
        </w:rPr>
        <w:t>kivéve</w:t>
      </w:r>
      <w:proofErr w:type="gramEnd"/>
      <w:r w:rsidRPr="00880F9A">
        <w:rPr>
          <w:rFonts w:ascii="Times New Roman" w:hAnsi="Times New Roman" w:cs="Times New Roman"/>
          <w:color w:val="auto"/>
          <w:sz w:val="20"/>
        </w:rPr>
        <w:t xml:space="preserve"> ha bizonyítja, hogy az adatkezelést olyan kényszerítő </w:t>
      </w:r>
      <w:proofErr w:type="spellStart"/>
      <w:r w:rsidRPr="00880F9A">
        <w:rPr>
          <w:rFonts w:ascii="Times New Roman" w:hAnsi="Times New Roman" w:cs="Times New Roman"/>
          <w:color w:val="auto"/>
          <w:sz w:val="20"/>
        </w:rPr>
        <w:t>erejű</w:t>
      </w:r>
      <w:proofErr w:type="spellEnd"/>
      <w:r w:rsidRPr="00880F9A">
        <w:rPr>
          <w:rFonts w:ascii="Times New Roman" w:hAnsi="Times New Roman" w:cs="Times New Roman"/>
          <w:color w:val="auto"/>
          <w:sz w:val="20"/>
        </w:rPr>
        <w:t xml:space="preserve"> jogos okok indokolják, amelyek elsőbbséget élveznek az érintett érdekeivel, jogaival és szabadságaival szemben, vagy amelyek jogi igények előterjesztéséhez, érvényesítéséhez vagy védelméhez kapcsolódnak. Az adatkezelő a tiltakozást a kérelem benyújtásától számított legrövidebb időn belül, de legfeljebb 1 hónapon belül megvizsgálja, annak megalapozottsága kérdésében döntést hoz, és döntéséről a kérelmezőt írásban tájékoztatja.</w:t>
      </w:r>
    </w:p>
    <w:p w14:paraId="2632EA7A"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 xml:space="preserve">Ha az érintett úgy érzi, hogy az adatkezelés során sérelem érte, annak tényét a helyzet rendezése érdekében a tájékoztatóban feltüntetett adatvédelmi tisztviselő felé jelezheti. </w:t>
      </w:r>
    </w:p>
    <w:p w14:paraId="0A5A18A0"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 xml:space="preserve">Amennyiben a megkeresés nem vezetett eredményre, az érintett az információs önrendelkezési jogról és az információszabadságról szóló 2011. évi CXII. törvény (a továbbiakban: </w:t>
      </w:r>
      <w:proofErr w:type="spellStart"/>
      <w:r w:rsidRPr="00880F9A">
        <w:rPr>
          <w:rFonts w:ascii="Times New Roman" w:hAnsi="Times New Roman" w:cs="Times New Roman"/>
          <w:color w:val="auto"/>
          <w:sz w:val="20"/>
        </w:rPr>
        <w:t>Infotv</w:t>
      </w:r>
      <w:proofErr w:type="spellEnd"/>
      <w:r w:rsidRPr="00880F9A">
        <w:rPr>
          <w:rFonts w:ascii="Times New Roman" w:hAnsi="Times New Roman" w:cs="Times New Roman"/>
          <w:color w:val="auto"/>
          <w:sz w:val="20"/>
        </w:rPr>
        <w:t>.) 52. §-a alapján a Nemzeti Adatvédelmi és Információszabadság Hatóságnál bejelentést tehet, továbbá az </w:t>
      </w:r>
      <w:proofErr w:type="spellStart"/>
      <w:r w:rsidRPr="00880F9A">
        <w:rPr>
          <w:rFonts w:ascii="Times New Roman" w:hAnsi="Times New Roman" w:cs="Times New Roman"/>
          <w:color w:val="auto"/>
          <w:sz w:val="20"/>
        </w:rPr>
        <w:t>Infotv</w:t>
      </w:r>
      <w:proofErr w:type="spellEnd"/>
      <w:r w:rsidRPr="00880F9A">
        <w:rPr>
          <w:rFonts w:ascii="Times New Roman" w:hAnsi="Times New Roman" w:cs="Times New Roman"/>
          <w:color w:val="auto"/>
          <w:sz w:val="20"/>
        </w:rPr>
        <w:t>. 23. §-a szerint, valamint a polgári törvénykönyvről szóló 2013. évi V. törvény Második Könyv III. része alapján bírósághoz fordulhat.</w:t>
      </w:r>
    </w:p>
    <w:p w14:paraId="3D6F5E7C" w14:textId="77777777" w:rsidR="00F71F3B" w:rsidRPr="00880F9A" w:rsidRDefault="00F71F3B" w:rsidP="00F71F3B">
      <w:pPr>
        <w:pStyle w:val="Bodytext"/>
        <w:spacing w:line="240" w:lineRule="auto"/>
        <w:ind w:left="0"/>
        <w:rPr>
          <w:rFonts w:ascii="Times New Roman" w:hAnsi="Times New Roman" w:cs="Times New Roman"/>
          <w:color w:val="auto"/>
          <w:sz w:val="20"/>
        </w:rPr>
      </w:pPr>
    </w:p>
    <w:p w14:paraId="748882E6"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 Nemzeti Adatvédelmi és Információszabadság Hatóság elérhetősége:</w:t>
      </w:r>
    </w:p>
    <w:p w14:paraId="3412B92D"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Postacím: 1363 Budapest, Pf. 9</w:t>
      </w:r>
    </w:p>
    <w:p w14:paraId="4D56C47F"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Telefon: +36 (1) 391-1400</w:t>
      </w:r>
    </w:p>
    <w:p w14:paraId="14BD0B1D"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Elektronikus postacím: ugyfelszolgalat@naih.hu</w:t>
      </w:r>
    </w:p>
    <w:p w14:paraId="33601C3F"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 xml:space="preserve">Honlap: www.naih.hu </w:t>
      </w:r>
    </w:p>
    <w:p w14:paraId="09286605" w14:textId="77777777" w:rsidR="00F71F3B" w:rsidRPr="00880F9A"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Az adatvédelmi perekben eljáró bíróságok listája:</w:t>
      </w:r>
    </w:p>
    <w:p w14:paraId="4267737E" w14:textId="404C3701" w:rsidR="004959EA" w:rsidRPr="00F71F3B" w:rsidRDefault="00F71F3B" w:rsidP="00F71F3B">
      <w:pPr>
        <w:pStyle w:val="Bodytext"/>
        <w:spacing w:line="240" w:lineRule="auto"/>
        <w:ind w:left="0"/>
        <w:rPr>
          <w:rFonts w:ascii="Times New Roman" w:hAnsi="Times New Roman" w:cs="Times New Roman"/>
          <w:color w:val="auto"/>
          <w:sz w:val="20"/>
        </w:rPr>
      </w:pPr>
      <w:r w:rsidRPr="00880F9A">
        <w:rPr>
          <w:rFonts w:ascii="Times New Roman" w:hAnsi="Times New Roman" w:cs="Times New Roman"/>
          <w:color w:val="auto"/>
          <w:sz w:val="20"/>
        </w:rPr>
        <w:t>http://birosag.hu/torvenyszekek</w:t>
      </w:r>
    </w:p>
    <w:sectPr w:rsidR="004959EA" w:rsidRPr="00F71F3B" w:rsidSect="00F71F3B">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3B"/>
    <w:rsid w:val="004959EA"/>
    <w:rsid w:val="00A10164"/>
    <w:rsid w:val="00F71F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0900"/>
  <w15:chartTrackingRefBased/>
  <w15:docId w15:val="{A3AEECF7-DDCE-42BC-840B-166B34EE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71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71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71F3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71F3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71F3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71F3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71F3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71F3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71F3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71F3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71F3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71F3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71F3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71F3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71F3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71F3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71F3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71F3B"/>
    <w:rPr>
      <w:rFonts w:eastAsiaTheme="majorEastAsia" w:cstheme="majorBidi"/>
      <w:color w:val="272727" w:themeColor="text1" w:themeTint="D8"/>
    </w:rPr>
  </w:style>
  <w:style w:type="paragraph" w:styleId="Cm">
    <w:name w:val="Title"/>
    <w:basedOn w:val="Norml"/>
    <w:next w:val="Norml"/>
    <w:link w:val="CmChar"/>
    <w:uiPriority w:val="10"/>
    <w:qFormat/>
    <w:rsid w:val="00F71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71F3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71F3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71F3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71F3B"/>
    <w:pPr>
      <w:spacing w:before="160"/>
      <w:jc w:val="center"/>
    </w:pPr>
    <w:rPr>
      <w:i/>
      <w:iCs/>
      <w:color w:val="404040" w:themeColor="text1" w:themeTint="BF"/>
    </w:rPr>
  </w:style>
  <w:style w:type="character" w:customStyle="1" w:styleId="IdzetChar">
    <w:name w:val="Idézet Char"/>
    <w:basedOn w:val="Bekezdsalapbettpusa"/>
    <w:link w:val="Idzet"/>
    <w:uiPriority w:val="29"/>
    <w:rsid w:val="00F71F3B"/>
    <w:rPr>
      <w:i/>
      <w:iCs/>
      <w:color w:val="404040" w:themeColor="text1" w:themeTint="BF"/>
    </w:rPr>
  </w:style>
  <w:style w:type="paragraph" w:styleId="Listaszerbekezds">
    <w:name w:val="List Paragraph"/>
    <w:basedOn w:val="Norml"/>
    <w:uiPriority w:val="34"/>
    <w:qFormat/>
    <w:rsid w:val="00F71F3B"/>
    <w:pPr>
      <w:ind w:left="720"/>
      <w:contextualSpacing/>
    </w:pPr>
  </w:style>
  <w:style w:type="character" w:styleId="Erskiemels">
    <w:name w:val="Intense Emphasis"/>
    <w:basedOn w:val="Bekezdsalapbettpusa"/>
    <w:uiPriority w:val="21"/>
    <w:qFormat/>
    <w:rsid w:val="00F71F3B"/>
    <w:rPr>
      <w:i/>
      <w:iCs/>
      <w:color w:val="0F4761" w:themeColor="accent1" w:themeShade="BF"/>
    </w:rPr>
  </w:style>
  <w:style w:type="paragraph" w:styleId="Kiemeltidzet">
    <w:name w:val="Intense Quote"/>
    <w:basedOn w:val="Norml"/>
    <w:next w:val="Norml"/>
    <w:link w:val="KiemeltidzetChar"/>
    <w:uiPriority w:val="30"/>
    <w:qFormat/>
    <w:rsid w:val="00F71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71F3B"/>
    <w:rPr>
      <w:i/>
      <w:iCs/>
      <w:color w:val="0F4761" w:themeColor="accent1" w:themeShade="BF"/>
    </w:rPr>
  </w:style>
  <w:style w:type="character" w:styleId="Ershivatkozs">
    <w:name w:val="Intense Reference"/>
    <w:basedOn w:val="Bekezdsalapbettpusa"/>
    <w:uiPriority w:val="32"/>
    <w:qFormat/>
    <w:rsid w:val="00F71F3B"/>
    <w:rPr>
      <w:b/>
      <w:bCs/>
      <w:smallCaps/>
      <w:color w:val="0F4761" w:themeColor="accent1" w:themeShade="BF"/>
      <w:spacing w:val="5"/>
    </w:rPr>
  </w:style>
  <w:style w:type="paragraph" w:customStyle="1" w:styleId="Bodytext">
    <w:name w:val="Bodytext"/>
    <w:basedOn w:val="Norml"/>
    <w:uiPriority w:val="99"/>
    <w:rsid w:val="00F71F3B"/>
    <w:pPr>
      <w:suppressAutoHyphens/>
      <w:autoSpaceDE w:val="0"/>
      <w:autoSpaceDN w:val="0"/>
      <w:adjustRightInd w:val="0"/>
      <w:spacing w:after="0" w:line="260" w:lineRule="atLeast"/>
      <w:ind w:left="964"/>
      <w:jc w:val="both"/>
      <w:textAlignment w:val="center"/>
    </w:pPr>
    <w:rPr>
      <w:rFonts w:ascii="Myriad Pro" w:eastAsiaTheme="minorEastAsia" w:hAnsi="Myriad Pro" w:cs="Myriad Pro"/>
      <w:color w:val="000000"/>
      <w:kern w:val="0"/>
      <w:sz w:val="18"/>
      <w:szCs w:val="18"/>
      <w:lang w:eastAsia="zh-CN"/>
      <w14:ligatures w14:val="none"/>
    </w:rPr>
  </w:style>
  <w:style w:type="paragraph" w:customStyle="1" w:styleId="C04">
    <w:name w:val="C04"/>
    <w:basedOn w:val="Norml"/>
    <w:uiPriority w:val="99"/>
    <w:rsid w:val="00F71F3B"/>
    <w:pPr>
      <w:suppressAutoHyphens/>
      <w:autoSpaceDE w:val="0"/>
      <w:autoSpaceDN w:val="0"/>
      <w:adjustRightInd w:val="0"/>
      <w:spacing w:after="0" w:line="260" w:lineRule="atLeast"/>
      <w:ind w:left="964"/>
      <w:textAlignment w:val="center"/>
    </w:pPr>
    <w:rPr>
      <w:rFonts w:ascii="Myriad Pro" w:eastAsiaTheme="minorEastAsia" w:hAnsi="Myriad Pro" w:cs="Myriad Pro"/>
      <w:b/>
      <w:bCs/>
      <w:color w:val="000000"/>
      <w:kern w:val="0"/>
      <w:sz w:val="19"/>
      <w:szCs w:val="19"/>
      <w:lang w:eastAsia="zh-CN"/>
      <w14:ligatures w14:val="none"/>
    </w:rPr>
  </w:style>
  <w:style w:type="paragraph" w:customStyle="1" w:styleId="minusz">
    <w:name w:val="minusz"/>
    <w:basedOn w:val="Norml"/>
    <w:uiPriority w:val="99"/>
    <w:rsid w:val="00F71F3B"/>
    <w:pPr>
      <w:tabs>
        <w:tab w:val="left" w:pos="1220"/>
      </w:tabs>
      <w:suppressAutoHyphens/>
      <w:autoSpaceDE w:val="0"/>
      <w:autoSpaceDN w:val="0"/>
      <w:adjustRightInd w:val="0"/>
      <w:spacing w:after="0" w:line="260" w:lineRule="atLeast"/>
      <w:ind w:left="1191" w:hanging="227"/>
      <w:jc w:val="both"/>
      <w:textAlignment w:val="center"/>
    </w:pPr>
    <w:rPr>
      <w:rFonts w:ascii="Myriad Pro" w:eastAsiaTheme="minorEastAsia" w:hAnsi="Myriad Pro" w:cs="Myriad Pro"/>
      <w:color w:val="000000"/>
      <w:kern w:val="0"/>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1203</Words>
  <Characters>8302</Characters>
  <Application>Microsoft Office Word</Application>
  <DocSecurity>0</DocSecurity>
  <Lines>69</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Jantó Péter</dc:creator>
  <cp:keywords/>
  <dc:description/>
  <cp:lastModifiedBy>Jantó Péter</cp:lastModifiedBy>
  <cp:revision>1</cp:revision>
  <dcterms:created xsi:type="dcterms:W3CDTF">2025-01-24T07:53:00Z</dcterms:created>
  <dcterms:modified xsi:type="dcterms:W3CDTF">2025-01-24T07:54:00Z</dcterms:modified>
</cp:coreProperties>
</file>