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26BE" w14:textId="77777777" w:rsidR="005E791A" w:rsidRPr="003C520A" w:rsidRDefault="005E791A" w:rsidP="003C520A">
      <w:pPr>
        <w:pStyle w:val="C05"/>
        <w:widowControl/>
        <w:spacing w:line="240" w:lineRule="auto"/>
        <w:rPr>
          <w:rFonts w:ascii="Times New Roman" w:hAnsi="Times New Roman" w:cs="Times New Roman"/>
          <w:color w:val="auto"/>
          <w:sz w:val="20"/>
        </w:rPr>
      </w:pPr>
    </w:p>
    <w:tbl>
      <w:tblPr>
        <w:tblW w:w="0" w:type="auto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"/>
        <w:gridCol w:w="582"/>
        <w:gridCol w:w="848"/>
        <w:gridCol w:w="444"/>
        <w:gridCol w:w="436"/>
        <w:gridCol w:w="843"/>
        <w:gridCol w:w="777"/>
        <w:gridCol w:w="778"/>
        <w:gridCol w:w="773"/>
        <w:gridCol w:w="581"/>
        <w:gridCol w:w="832"/>
        <w:gridCol w:w="699"/>
        <w:gridCol w:w="705"/>
        <w:gridCol w:w="662"/>
        <w:gridCol w:w="668"/>
        <w:gridCol w:w="849"/>
        <w:gridCol w:w="888"/>
        <w:gridCol w:w="778"/>
        <w:gridCol w:w="642"/>
        <w:gridCol w:w="961"/>
      </w:tblGrid>
      <w:tr w:rsidR="005E791A" w:rsidRPr="003C520A" w14:paraId="3AA2EF4E" w14:textId="77777777">
        <w:trPr>
          <w:trHeight w:val="135"/>
          <w:tblHeader/>
        </w:trPr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E3BEA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D4145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A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DD5E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B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D4A11E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C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5C268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D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FE6B3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E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22F7A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F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43BFA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G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DCBCD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H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0331E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I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05CFDA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J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3C2BF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K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31072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L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AD74E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M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12A8C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N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E17AD0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O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150F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BBE3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Q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D1D73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R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F739B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S</w:t>
            </w:r>
          </w:p>
        </w:tc>
      </w:tr>
      <w:tr w:rsidR="005E791A" w:rsidRPr="003C520A" w14:paraId="7F972638" w14:textId="77777777">
        <w:trPr>
          <w:trHeight w:val="124"/>
          <w:tblHeader/>
        </w:trPr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34FB1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1.</w:t>
            </w:r>
          </w:p>
        </w:tc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4F04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azonosító száma</w:t>
            </w:r>
          </w:p>
        </w:tc>
        <w:tc>
          <w:tcPr>
            <w:tcW w:w="8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1379E4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megnevezése</w:t>
            </w:r>
          </w:p>
        </w:tc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7D0F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Támogatást igénylő neve</w:t>
            </w:r>
          </w:p>
        </w:tc>
        <w:tc>
          <w:tcPr>
            <w:tcW w:w="360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90D04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eredeti támogatási intenzitása és forrásszerkezete</w:t>
            </w:r>
          </w:p>
        </w:tc>
        <w:tc>
          <w:tcPr>
            <w:tcW w:w="666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53882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támogatási intenzitása és forrásszerkezete a módosítás után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595F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6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összköltsége</w:t>
            </w:r>
          </w:p>
          <w:p w14:paraId="1B37DEAF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(Ft)</w:t>
            </w:r>
          </w:p>
        </w:tc>
        <w:tc>
          <w:tcPr>
            <w:tcW w:w="9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6960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rövid bemutatása</w:t>
            </w:r>
          </w:p>
        </w:tc>
      </w:tr>
      <w:tr w:rsidR="005E791A" w:rsidRPr="003C520A" w14:paraId="5B6E8EC0" w14:textId="77777777">
        <w:trPr>
          <w:trHeight w:val="335"/>
          <w:tblHeader/>
        </w:trPr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A226B5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2.</w:t>
            </w:r>
          </w:p>
        </w:tc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3CB0A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11DF0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68231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D4AF9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támogatási intenzitása</w:t>
            </w:r>
          </w:p>
        </w:tc>
        <w:tc>
          <w:tcPr>
            <w:tcW w:w="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51FCA2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6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 xml:space="preserve">Projekt Integrált Közlekedésfejlesztési Operatív Program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br/>
              <w:t>(a továbbiakban: IKOP) keretében finanszírozandó támogatásának összege</w:t>
            </w:r>
          </w:p>
          <w:p w14:paraId="5B55CC4F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(Ft)</w:t>
            </w:r>
          </w:p>
        </w:tc>
        <w:tc>
          <w:tcPr>
            <w:tcW w:w="2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BDD6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részére a Fejezet Integrált Közlekedésfejlesztési OP (IKOP) előirányzatának (a továbbiakban: IKOP-előirányzat) hazai társfinanszírozáson felüli felhasználásával biztosítandó forrás</w:t>
            </w:r>
          </w:p>
        </w:tc>
        <w:tc>
          <w:tcPr>
            <w:tcW w:w="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B95EB4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támogatási intenzitása</w:t>
            </w:r>
          </w:p>
        </w:tc>
        <w:tc>
          <w:tcPr>
            <w:tcW w:w="8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7318A0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6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IKOP keretében finanszírozandó támogatás összege</w:t>
            </w:r>
          </w:p>
          <w:p w14:paraId="1D8487E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(Ft)</w:t>
            </w:r>
          </w:p>
        </w:tc>
        <w:tc>
          <w:tcPr>
            <w:tcW w:w="20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F1B64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részére az IKOP-előirányzat hazai társfinanszírozáson felüli felhasználásával biztosítandó forrás</w:t>
            </w:r>
          </w:p>
        </w:tc>
        <w:tc>
          <w:tcPr>
            <w:tcW w:w="6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A76B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6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IKOP Plusz keretében finanszírozandó támogatás összege</w:t>
            </w:r>
          </w:p>
          <w:p w14:paraId="3599047A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(Ft)</w:t>
            </w:r>
          </w:p>
        </w:tc>
        <w:tc>
          <w:tcPr>
            <w:tcW w:w="25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D94CF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részére az IKOP Plusz előirányzat hazai társfinanszírozáson felüli felhasználásával biztosítandó forrás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2B6E6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F4609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5E791A" w:rsidRPr="003C520A" w14:paraId="291B0DF9" w14:textId="77777777">
        <w:trPr>
          <w:trHeight w:val="835"/>
          <w:tblHeader/>
        </w:trPr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7408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3.</w:t>
            </w:r>
          </w:p>
        </w:tc>
        <w:tc>
          <w:tcPr>
            <w:tcW w:w="5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360A6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F7F77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9FD28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1BAEE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CF64E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1F0DD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Megtérülő projektköltségre jutó központi költségvetési forrás összege (Ft) az 590/2022. (XII. 28.) Korm. rendelet 9. § (1) bekezdés a) pontja alapján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24904" w14:textId="77777777" w:rsidR="005E791A" w:rsidRPr="003C520A" w:rsidRDefault="005E791A" w:rsidP="003C520A">
            <w:pPr>
              <w:pStyle w:val="T-fej7Tablazat"/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 xml:space="preserve">Projekt le nem vonható,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br/>
              <w:t>az EU felé el nem számolható ÁFA összege (Ft) az 590/2022. (XII. 28.) Korm. rendelet 9. § (1) bekezdés b) pontja alapján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80C8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Az EU felé el nem számolható költségek összege (Ft) az 590/2022. (XII. 28.) Korm. rendelet 9. § (1) bekezdés f) pontja alapján</w:t>
            </w:r>
          </w:p>
        </w:tc>
        <w:tc>
          <w:tcPr>
            <w:tcW w:w="5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54401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E8D3D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D43CF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6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Megtérülő projektköltségre jutó központi költségvetési forrás összege (Ft)</w:t>
            </w:r>
          </w:p>
          <w:p w14:paraId="325F568F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az 590/2022. (XII. 28.) Korm. rendelet 9. § (1) bekezdés a) pontja alapján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87741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Projekt le nem vonható, az EU felé el nem számolható ÁFA összege (Ft) az 590/2022. (XII. 28.) Korm. rendelet 9. § (1) bekezdés b) pontja alapján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3C125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 xml:space="preserve">Az EU felé el nem számolható költségek összege (Ft)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br/>
              <w:t>az 590/2022. (XII. 28.) Korm. rendelet 9. § (1) bekezdés f) pontja alapján</w:t>
            </w:r>
          </w:p>
        </w:tc>
        <w:tc>
          <w:tcPr>
            <w:tcW w:w="6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57BB0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06E13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6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Megtérülő projektköltségre jutó központi költségvetési forrás összege (Ft)</w:t>
            </w:r>
          </w:p>
          <w:p w14:paraId="73FA990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az 590/2022. (XII. 28.) Korm. rendelet 9. § (1) bekezdés a) pontja alapján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D7529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 xml:space="preserve">Projekt le nem vonható,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br/>
              <w:t>az EU felé el nem számolható ÁFA összege (Ft) az 590/2022. (XII. 28.) Korm. rendelet 9. § (1) bekezdés b) pontja alapján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49B02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6"/>
              </w:rPr>
              <w:t>Az EU felé el nem számolható költségek összege (Ft) az 590/2022. (XII. 28.) Korm. rendelet 9. § (1) bekezdés f) pontja alapján</w:t>
            </w:r>
          </w:p>
        </w:tc>
        <w:tc>
          <w:tcPr>
            <w:tcW w:w="6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B71F9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138E" w14:textId="77777777" w:rsidR="005E791A" w:rsidRPr="003C520A" w:rsidRDefault="005E791A" w:rsidP="003C520A">
            <w:pPr>
              <w:pStyle w:val="Nincsbekezdsstlus"/>
              <w:widowControl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5E791A" w:rsidRPr="003C520A" w14:paraId="76110714" w14:textId="77777777">
        <w:trPr>
          <w:trHeight w:val="1110"/>
        </w:trPr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F3C5B4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lastRenderedPageBreak/>
              <w:t>4.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43F5D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IKOP-2.1.0-15-2017-00036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FBCB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Püspökladány–Debrecen vasútvonal korszerűsítése, Debrecen állomás részleges átépítése és Szajol–Debrecen vasútvonalon ETCS2 vonatbefolyásoló rendszer kiépítése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84BFD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ÉKM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3824FE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98,55%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FF651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107 767 250 000</w:t>
            </w:r>
          </w:p>
        </w:tc>
        <w:tc>
          <w:tcPr>
            <w:tcW w:w="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97DA8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1 585 616 565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E6762A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29 697 506 973</w:t>
            </w:r>
          </w:p>
        </w:tc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004E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1 500 000 000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8A4A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98,55%</w:t>
            </w:r>
          </w:p>
        </w:tc>
        <w:tc>
          <w:tcPr>
            <w:tcW w:w="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315DE1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102 535 933 676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B580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1 508 646 411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CF5D5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28 842 923 562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FDECB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1 500 000 000</w:t>
            </w:r>
          </w:p>
        </w:tc>
        <w:tc>
          <w:tcPr>
            <w:tcW w:w="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62F9AC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5 231 316 324*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112DA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76 970 154**</w:t>
            </w: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D0718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854 583 411***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D5EBA6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0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E2787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>140 550 373 538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FF5949" w14:textId="77777777" w:rsidR="005E791A" w:rsidRPr="003C520A" w:rsidRDefault="005E791A" w:rsidP="003C520A">
            <w:pPr>
              <w:pStyle w:val="T5balTablazat"/>
              <w:widowControl/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t xml:space="preserve">Pályarekonstrukció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br/>
              <w:t xml:space="preserve">Püspökladány–Debrecen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br/>
              <w:t>és ETCS biztosító-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br/>
              <w:t xml:space="preserve">berendezés telepítése Szajol–Debrecen vasúti vonalszakaszokon. </w:t>
            </w:r>
            <w:r w:rsidRPr="003C520A">
              <w:rPr>
                <w:rFonts w:ascii="Times New Roman" w:hAnsi="Times New Roman" w:cs="Times New Roman"/>
                <w:color w:val="auto"/>
                <w:sz w:val="20"/>
                <w:szCs w:val="8"/>
              </w:rPr>
              <w:br/>
              <w:t>Cél a 160 km/órás sebesség bevezetése.</w:t>
            </w:r>
          </w:p>
        </w:tc>
      </w:tr>
    </w:tbl>
    <w:p w14:paraId="06498800" w14:textId="77777777" w:rsidR="005E791A" w:rsidRPr="003C520A" w:rsidRDefault="005E791A" w:rsidP="003C520A">
      <w:pPr>
        <w:pStyle w:val="Tompa"/>
        <w:widowControl/>
        <w:spacing w:line="240" w:lineRule="auto"/>
        <w:rPr>
          <w:rFonts w:ascii="Times New Roman" w:hAnsi="Times New Roman" w:cs="Times New Roman"/>
          <w:color w:val="auto"/>
          <w:sz w:val="20"/>
          <w:szCs w:val="19"/>
        </w:rPr>
      </w:pPr>
    </w:p>
    <w:p w14:paraId="4DF313AF" w14:textId="77777777" w:rsidR="005E791A" w:rsidRPr="003C520A" w:rsidRDefault="005E791A" w:rsidP="003C520A">
      <w:pPr>
        <w:pStyle w:val="Labjegyzet"/>
        <w:widowControl/>
        <w:spacing w:line="240" w:lineRule="auto"/>
        <w:ind w:left="283" w:hanging="283"/>
        <w:rPr>
          <w:rFonts w:ascii="Times New Roman" w:hAnsi="Times New Roman" w:cs="Times New Roman"/>
          <w:color w:val="auto"/>
          <w:sz w:val="20"/>
        </w:rPr>
      </w:pPr>
      <w:r w:rsidRPr="003C520A">
        <w:rPr>
          <w:rFonts w:ascii="Times New Roman" w:hAnsi="Times New Roman" w:cs="Times New Roman"/>
          <w:color w:val="auto"/>
          <w:sz w:val="20"/>
        </w:rPr>
        <w:t> </w:t>
      </w:r>
      <w:r w:rsidRPr="003C520A">
        <w:rPr>
          <w:rFonts w:ascii="Times New Roman" w:hAnsi="Times New Roman" w:cs="Times New Roman"/>
          <w:color w:val="auto"/>
          <w:sz w:val="20"/>
        </w:rPr>
        <w:t>*</w:t>
      </w:r>
      <w:r w:rsidRPr="003C520A">
        <w:rPr>
          <w:rFonts w:ascii="Times New Roman" w:hAnsi="Times New Roman" w:cs="Times New Roman"/>
          <w:color w:val="auto"/>
          <w:sz w:val="20"/>
        </w:rPr>
        <w:tab/>
        <w:t>Az 590/2022. (XII. 28.) Korm. rendelet 9. § (1) bekezdés f) pontja alapján az IKOP hazai társfinanszírozáson felüli felhasználásával kerül finanszírozásra ideiglenesen, a nagyprojekt második szakaszára vonatkozó, IKOP Plusz terhére megkötésre kerülő támogatási szerződés hatálybalépéséig.</w:t>
      </w:r>
    </w:p>
    <w:p w14:paraId="0146F672" w14:textId="77777777" w:rsidR="005E791A" w:rsidRPr="003C520A" w:rsidRDefault="005E791A" w:rsidP="003C520A">
      <w:pPr>
        <w:pStyle w:val="Labjegyzet"/>
        <w:widowControl/>
        <w:spacing w:line="240" w:lineRule="auto"/>
        <w:ind w:left="283" w:hanging="283"/>
        <w:rPr>
          <w:rFonts w:ascii="Times New Roman" w:hAnsi="Times New Roman" w:cs="Times New Roman"/>
          <w:color w:val="auto"/>
          <w:sz w:val="20"/>
        </w:rPr>
      </w:pPr>
      <w:r w:rsidRPr="003C520A">
        <w:rPr>
          <w:rFonts w:ascii="Times New Roman" w:hAnsi="Times New Roman" w:cs="Times New Roman"/>
          <w:color w:val="auto"/>
          <w:sz w:val="20"/>
        </w:rPr>
        <w:t> </w:t>
      </w:r>
      <w:r w:rsidRPr="003C520A">
        <w:rPr>
          <w:rFonts w:ascii="Times New Roman" w:hAnsi="Times New Roman" w:cs="Times New Roman"/>
          <w:color w:val="auto"/>
          <w:sz w:val="20"/>
        </w:rPr>
        <w:t>**</w:t>
      </w:r>
      <w:r w:rsidRPr="003C520A">
        <w:rPr>
          <w:rFonts w:ascii="Times New Roman" w:hAnsi="Times New Roman" w:cs="Times New Roman"/>
          <w:color w:val="auto"/>
          <w:sz w:val="20"/>
        </w:rPr>
        <w:tab/>
        <w:t>Az 590/2022. (XII. 28.) Korm. rendelet 9. § (1) bekezdés a) pontja alapján az IKOP hazai társfinanszírozáson felüli felhasználásával kerül finanszírozásra ideiglenesen, a nagyprojekt második szakaszára vonatkozó, IKOP Plusz terhére megkötésre kerülő támogatási szerződés hatálybalépéséig.</w:t>
      </w:r>
    </w:p>
    <w:p w14:paraId="1A692D09" w14:textId="77777777" w:rsidR="005E791A" w:rsidRPr="003C520A" w:rsidRDefault="005E791A" w:rsidP="003C520A">
      <w:pPr>
        <w:pStyle w:val="Labjegyzet"/>
        <w:widowControl/>
        <w:spacing w:line="240" w:lineRule="auto"/>
        <w:ind w:left="283" w:hanging="283"/>
        <w:rPr>
          <w:rFonts w:ascii="Times New Roman" w:hAnsi="Times New Roman" w:cs="Times New Roman"/>
          <w:color w:val="auto"/>
          <w:sz w:val="20"/>
        </w:rPr>
      </w:pPr>
      <w:r w:rsidRPr="003C520A">
        <w:rPr>
          <w:rFonts w:ascii="Times New Roman" w:hAnsi="Times New Roman" w:cs="Times New Roman"/>
          <w:color w:val="auto"/>
          <w:sz w:val="20"/>
        </w:rPr>
        <w:t>***</w:t>
      </w:r>
      <w:r w:rsidRPr="003C520A">
        <w:rPr>
          <w:rFonts w:ascii="Times New Roman" w:hAnsi="Times New Roman" w:cs="Times New Roman"/>
          <w:color w:val="auto"/>
          <w:sz w:val="20"/>
        </w:rPr>
        <w:tab/>
        <w:t>Az 590/2022. (XII. 28.) Korm. rendelet 9. § (1) bekezdés b) pontja alapján az IKOP hazai társfinanszírozáson felüli felhasználásával kerül finanszírozásra ideiglenesen, a nagyprojekt második szakaszára vonatkozó, IKOP Plusz terhére megkötésre kerülő támogatási szerződés hatálybalépéséig.</w:t>
      </w:r>
    </w:p>
    <w:sectPr w:rsidR="005E791A" w:rsidRPr="003C520A" w:rsidSect="003C520A">
      <w:type w:val="continuous"/>
      <w:pgSz w:w="16838" w:h="11906" w:orient="landscape"/>
      <w:pgMar w:top="1134" w:right="1701" w:bottom="1134" w:left="130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ED81E" w14:textId="77777777" w:rsidR="00344146" w:rsidRDefault="00344146" w:rsidP="007B494F">
      <w:pPr>
        <w:spacing w:after="0" w:line="240" w:lineRule="auto"/>
      </w:pPr>
      <w:r>
        <w:separator/>
      </w:r>
    </w:p>
  </w:endnote>
  <w:endnote w:type="continuationSeparator" w:id="0">
    <w:p w14:paraId="247036CF" w14:textId="77777777" w:rsidR="00344146" w:rsidRDefault="00344146" w:rsidP="007B4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SamsungOneUILatin 7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It">
    <w:altName w:val="MV Bo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90526" w14:textId="77777777" w:rsidR="00344146" w:rsidRDefault="00344146" w:rsidP="007B494F">
      <w:pPr>
        <w:spacing w:after="0" w:line="240" w:lineRule="auto"/>
      </w:pPr>
      <w:r>
        <w:separator/>
      </w:r>
    </w:p>
  </w:footnote>
  <w:footnote w:type="continuationSeparator" w:id="0">
    <w:p w14:paraId="55C7CA08" w14:textId="77777777" w:rsidR="00344146" w:rsidRDefault="00344146" w:rsidP="007B4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91A"/>
    <w:rsid w:val="0026251F"/>
    <w:rsid w:val="00344146"/>
    <w:rsid w:val="003C520A"/>
    <w:rsid w:val="005E791A"/>
    <w:rsid w:val="007B494F"/>
    <w:rsid w:val="0089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0ADE"/>
  <w15:docId w15:val="{AF3DBA9F-78E6-49A2-9E49-50A18147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791A"/>
    <w:pPr>
      <w:keepNext/>
      <w:widowControl w:val="0"/>
      <w:autoSpaceDE w:val="0"/>
      <w:autoSpaceDN w:val="0"/>
      <w:adjustRightInd w:val="0"/>
      <w:spacing w:before="240" w:after="60"/>
      <w:textAlignment w:val="center"/>
      <w:outlineLvl w:val="0"/>
    </w:pPr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791A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customStyle="1" w:styleId="Nincsbekezdsstlus">
    <w:name w:val="[Nincs bekezdésstílus]"/>
    <w:rsid w:val="005E791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C">
    <w:name w:val="C"/>
    <w:basedOn w:val="Nincsbekezdsstlus"/>
    <w:uiPriority w:val="99"/>
    <w:rsid w:val="005E791A"/>
    <w:pPr>
      <w:suppressAutoHyphens/>
      <w:spacing w:after="260" w:line="260" w:lineRule="atLeast"/>
    </w:pPr>
    <w:rPr>
      <w:rFonts w:ascii="MyriadPro-Bold" w:hAnsi="MyriadPro-Bold" w:cs="MyriadPro-Bold"/>
      <w:b/>
      <w:bCs/>
      <w:sz w:val="20"/>
      <w:szCs w:val="20"/>
    </w:rPr>
  </w:style>
  <w:style w:type="paragraph" w:customStyle="1" w:styleId="Tompa">
    <w:name w:val="Tompa"/>
    <w:basedOn w:val="Nincsbekezdsstlus"/>
    <w:uiPriority w:val="99"/>
    <w:rsid w:val="005E791A"/>
    <w:pPr>
      <w:suppressAutoHyphens/>
      <w:spacing w:line="260" w:lineRule="atLeast"/>
      <w:jc w:val="both"/>
    </w:pPr>
    <w:rPr>
      <w:rFonts w:ascii="MyriadPro-Regular" w:hAnsi="MyriadPro-Regular" w:cs="MyriadPro-Regular"/>
      <w:sz w:val="18"/>
      <w:szCs w:val="18"/>
    </w:rPr>
  </w:style>
  <w:style w:type="paragraph" w:customStyle="1" w:styleId="Bodytext">
    <w:name w:val="Bodytext"/>
    <w:basedOn w:val="Nincsbekezdsstlus"/>
    <w:uiPriority w:val="99"/>
    <w:rsid w:val="005E791A"/>
    <w:pPr>
      <w:suppressAutoHyphens/>
      <w:spacing w:line="260" w:lineRule="atLeast"/>
      <w:ind w:left="964"/>
      <w:jc w:val="both"/>
    </w:pPr>
    <w:rPr>
      <w:rFonts w:ascii="MyriadPro-Regular" w:hAnsi="MyriadPro-Regular" w:cs="MyriadPro-Regular"/>
      <w:sz w:val="18"/>
      <w:szCs w:val="18"/>
    </w:rPr>
  </w:style>
  <w:style w:type="paragraph" w:customStyle="1" w:styleId="Pont">
    <w:name w:val="Pont"/>
    <w:basedOn w:val="Nincsbekezdsstlus"/>
    <w:uiPriority w:val="99"/>
    <w:rsid w:val="005E791A"/>
    <w:pPr>
      <w:tabs>
        <w:tab w:val="left" w:pos="1474"/>
      </w:tabs>
      <w:suppressAutoHyphens/>
      <w:spacing w:line="260" w:lineRule="atLeast"/>
      <w:ind w:left="1474" w:hanging="510"/>
      <w:jc w:val="both"/>
    </w:pPr>
    <w:rPr>
      <w:rFonts w:ascii="MyriadPro-Regular" w:hAnsi="MyriadPro-Regular" w:cs="MyriadPro-Regular"/>
      <w:sz w:val="18"/>
      <w:szCs w:val="18"/>
    </w:rPr>
  </w:style>
  <w:style w:type="paragraph" w:customStyle="1" w:styleId="Bekezdes">
    <w:name w:val="Bekezdes"/>
    <w:basedOn w:val="Nincsbekezdsstlus"/>
    <w:uiPriority w:val="99"/>
    <w:rsid w:val="005E791A"/>
    <w:pPr>
      <w:tabs>
        <w:tab w:val="right" w:pos="850"/>
        <w:tab w:val="left" w:pos="964"/>
      </w:tabs>
      <w:suppressAutoHyphens/>
      <w:spacing w:line="260" w:lineRule="atLeast"/>
      <w:ind w:left="964" w:hanging="964"/>
      <w:jc w:val="both"/>
    </w:pPr>
    <w:rPr>
      <w:rFonts w:ascii="MyriadPro-Regular" w:hAnsi="MyriadPro-Regular" w:cs="MyriadPro-Regular"/>
      <w:sz w:val="18"/>
      <w:szCs w:val="18"/>
    </w:rPr>
  </w:style>
  <w:style w:type="paragraph" w:customStyle="1" w:styleId="Ala2">
    <w:name w:val="Ala2"/>
    <w:basedOn w:val="Nincsbekezdsstlus"/>
    <w:uiPriority w:val="99"/>
    <w:rsid w:val="005E791A"/>
    <w:pPr>
      <w:tabs>
        <w:tab w:val="center" w:pos="3132"/>
        <w:tab w:val="center" w:pos="7469"/>
      </w:tabs>
      <w:suppressAutoHyphens/>
      <w:spacing w:line="200" w:lineRule="atLeast"/>
      <w:ind w:left="964"/>
    </w:pPr>
    <w:rPr>
      <w:rFonts w:ascii="MyriadPro-Regular" w:hAnsi="MyriadPro-Regular" w:cs="MyriadPro-Regular"/>
      <w:sz w:val="14"/>
      <w:szCs w:val="14"/>
      <w:lang w:val="en-US"/>
    </w:rPr>
  </w:style>
  <w:style w:type="paragraph" w:customStyle="1" w:styleId="C05">
    <w:name w:val="C05"/>
    <w:basedOn w:val="Nincsbekezdsstlus"/>
    <w:uiPriority w:val="99"/>
    <w:rsid w:val="005E791A"/>
    <w:pPr>
      <w:suppressAutoHyphens/>
      <w:spacing w:line="260" w:lineRule="atLeast"/>
    </w:pPr>
    <w:rPr>
      <w:rFonts w:ascii="MyriadPro-It" w:hAnsi="MyriadPro-It" w:cs="MyriadPro-It"/>
      <w:i/>
      <w:iCs/>
      <w:sz w:val="19"/>
      <w:szCs w:val="19"/>
    </w:rPr>
  </w:style>
  <w:style w:type="paragraph" w:customStyle="1" w:styleId="Labjegyzet">
    <w:name w:val="Labjegyzet"/>
    <w:basedOn w:val="Nincsbekezdsstlus"/>
    <w:uiPriority w:val="99"/>
    <w:rsid w:val="005E791A"/>
    <w:pPr>
      <w:suppressAutoHyphens/>
      <w:spacing w:line="200" w:lineRule="atLeast"/>
      <w:ind w:left="964"/>
      <w:jc w:val="both"/>
    </w:pPr>
    <w:rPr>
      <w:rFonts w:ascii="MyriadPro-Regular" w:hAnsi="MyriadPro-Regular" w:cs="MyriadPro-Regular"/>
      <w:sz w:val="14"/>
      <w:szCs w:val="14"/>
    </w:rPr>
  </w:style>
  <w:style w:type="paragraph" w:customStyle="1" w:styleId="Felelos">
    <w:name w:val="Felelos"/>
    <w:basedOn w:val="Nincsbekezdsstlus"/>
    <w:uiPriority w:val="99"/>
    <w:rsid w:val="005E791A"/>
    <w:pPr>
      <w:tabs>
        <w:tab w:val="left" w:pos="2551"/>
      </w:tabs>
      <w:suppressAutoHyphens/>
      <w:spacing w:line="260" w:lineRule="atLeast"/>
      <w:ind w:left="2494" w:hanging="1020"/>
    </w:pPr>
    <w:rPr>
      <w:rFonts w:ascii="MyriadPro-Regular" w:hAnsi="MyriadPro-Regular" w:cs="MyriadPro-Regular"/>
      <w:sz w:val="18"/>
      <w:szCs w:val="18"/>
    </w:rPr>
  </w:style>
  <w:style w:type="paragraph" w:customStyle="1" w:styleId="T-fej7Tablazat">
    <w:name w:val="T-fej 7 (Tablazat)"/>
    <w:basedOn w:val="Nincsbekezdsstlus"/>
    <w:uiPriority w:val="99"/>
    <w:rsid w:val="005E791A"/>
    <w:pPr>
      <w:suppressAutoHyphens/>
      <w:spacing w:line="220" w:lineRule="atLeast"/>
      <w:jc w:val="center"/>
    </w:pPr>
    <w:rPr>
      <w:rFonts w:ascii="MyriadPro-Regular" w:hAnsi="MyriadPro-Regular" w:cs="MyriadPro-Regular"/>
      <w:sz w:val="14"/>
      <w:szCs w:val="14"/>
    </w:rPr>
  </w:style>
  <w:style w:type="paragraph" w:customStyle="1" w:styleId="T5balTablazat">
    <w:name w:val="T5 bal (Tablazat)"/>
    <w:basedOn w:val="Nincsbekezdsstlus"/>
    <w:uiPriority w:val="99"/>
    <w:rsid w:val="005E791A"/>
    <w:pPr>
      <w:suppressAutoHyphens/>
      <w:spacing w:line="140" w:lineRule="atLeast"/>
    </w:pPr>
    <w:rPr>
      <w:rFonts w:ascii="MyriadPro-Regular" w:hAnsi="MyriadPro-Regular" w:cs="MyriadPro-Regular"/>
      <w:sz w:val="10"/>
      <w:szCs w:val="10"/>
    </w:rPr>
  </w:style>
  <w:style w:type="paragraph" w:styleId="lfej">
    <w:name w:val="header"/>
    <w:basedOn w:val="Norml"/>
    <w:link w:val="lfejChar"/>
    <w:uiPriority w:val="99"/>
    <w:unhideWhenUsed/>
    <w:rsid w:val="007B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494F"/>
  </w:style>
  <w:style w:type="paragraph" w:styleId="llb">
    <w:name w:val="footer"/>
    <w:basedOn w:val="Norml"/>
    <w:link w:val="llbChar"/>
    <w:uiPriority w:val="99"/>
    <w:unhideWhenUsed/>
    <w:rsid w:val="007B4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4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janto.peter</dc:creator>
  <cp:keywords/>
  <dc:description/>
  <cp:lastModifiedBy>dr. Szekeres Róbert</cp:lastModifiedBy>
  <cp:revision>3</cp:revision>
  <dcterms:created xsi:type="dcterms:W3CDTF">2023-08-31T06:06:00Z</dcterms:created>
  <dcterms:modified xsi:type="dcterms:W3CDTF">2024-09-23T09:28:00Z</dcterms:modified>
</cp:coreProperties>
</file>