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412A3" w14:textId="77777777" w:rsidR="00585F5C" w:rsidRPr="00B47353" w:rsidRDefault="00585F5C" w:rsidP="00585F5C">
      <w:pPr>
        <w:tabs>
          <w:tab w:val="right" w:pos="850"/>
          <w:tab w:val="left" w:pos="964"/>
        </w:tabs>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1.</w:t>
      </w:r>
      <w:r w:rsidRPr="00B47353">
        <w:rPr>
          <w:rFonts w:ascii="Times New Roman" w:hAnsi="Times New Roman" w:cs="Times New Roman"/>
          <w:sz w:val="20"/>
          <w:szCs w:val="18"/>
        </w:rPr>
        <w:tab/>
        <w:t>Az R. 1. melléklet I. rész 1.4. pontja helyébe a következő rendelkezés lép:</w:t>
      </w:r>
    </w:p>
    <w:p w14:paraId="717BC54A"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„1.4. Egyszerűsített számítás lakóépületek utólagos hőszigetelésével elért végsőenergia-megtakarítás kimutatására</w:t>
      </w:r>
    </w:p>
    <w:p w14:paraId="344C8C10" w14:textId="77777777" w:rsidR="00585F5C"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1.4.1. Az intézkedés leírása</w:t>
      </w:r>
    </w:p>
    <w:p w14:paraId="77A6161B"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Az intézkedés lakóépületek utólagos hőszigetelése esetén alkalmazható, a megadott és a kiindulási állapotában szigeteletlen határoló szerkezet esetén. Energiahatékonyság-növelő intézkedésnek ismerhető el a homlokzati szerkezetek, a függőleges vagy ferde síkú külső határoló épületszerkezetek hőszigetelése, vagy továbbá a lapostető, padlásfödém utólagos hőszigetelése. A katalógus lap alkalmazása az épület egyéb paramétereinek változatlansága mellett mutatja ki a végső energiamegtakarítást, amely teljes egészében elszámolható. E pont szerinti számítás iparkamarai regisztrációs számmal rendelkező kivitelező általi kivitelezés esetén alkalmazható. A hitelesítő szervezet az adott hitelesített energiamegtakarítás alapját képező födémszigetelési beruházások 10%-a, de legalább 1 db beruházás vonatkozásában köteles a helyszínen ellenőrizni a megvalósulást, annak műszaki tartalmát, továbbá az épület födémszigetelési felújítással érintett szintjének fűtöttségi állapotát és fűtési módját. Padlásfödém szigetelés esetén az épület padlásfödém alatti fűtött és a födémszigetelt terület arányának legalább 90%-nak kell lennie. A ferdetető szigetelésével megvalósuló padlástér-szigetelés nem elszámolható e pont szerinti számítással.</w:t>
      </w:r>
      <w:r>
        <w:rPr>
          <w:rFonts w:ascii="Times New Roman" w:hAnsi="Times New Roman" w:cs="Times New Roman"/>
          <w:sz w:val="20"/>
          <w:szCs w:val="18"/>
        </w:rPr>
        <w:t xml:space="preserve"> </w:t>
      </w:r>
      <w:r w:rsidRPr="00B47353">
        <w:rPr>
          <w:rFonts w:ascii="Times New Roman" w:hAnsi="Times New Roman" w:cs="Times New Roman"/>
          <w:sz w:val="20"/>
          <w:szCs w:val="18"/>
        </w:rPr>
        <w:t>Jelen katalógus laptól eltérő szerkezetek végső-energiamegtakarítás hitelesítésének elszámolásához egyedi audit lefolytatása szükséges.</w:t>
      </w:r>
    </w:p>
    <w:p w14:paraId="39AAF0E9" w14:textId="77777777" w:rsidR="00585F5C"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1.4.2. A kiindulási állapot és az intézkedést követő állapot rögzítése</w:t>
      </w:r>
    </w:p>
    <w:p w14:paraId="6DE8F215"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Az épület építési éve, valamint a határolószerkezet vastagsága alapján az alábbi kategóriákba kell sorolni a meglévő határolószerkezetet. A korszerűsítés során az utólagos szigetelés vastagságának el kell érnie vagy meg kell haladnia az 1.4.2.1. táblázatban meghatározottakat.</w:t>
      </w:r>
      <w:r>
        <w:rPr>
          <w:rFonts w:ascii="Times New Roman" w:hAnsi="Times New Roman" w:cs="Times New Roman"/>
          <w:sz w:val="20"/>
          <w:szCs w:val="18"/>
        </w:rPr>
        <w:t xml:space="preserve"> </w:t>
      </w:r>
      <w:r w:rsidRPr="00B47353">
        <w:rPr>
          <w:rFonts w:ascii="Times New Roman" w:hAnsi="Times New Roman" w:cs="Times New Roman"/>
          <w:sz w:val="20"/>
          <w:szCs w:val="18"/>
        </w:rPr>
        <w:t>Az alábbiakban felsorolt korszerűsítéssel érintett határolószerkezetek esetén alkalmazható jelen katalógus lap:</w:t>
      </w:r>
    </w:p>
    <w:p w14:paraId="1C9C0EDC"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a) külső fal – 30 cm téglafalazat vagy 40 cm-nél vastagabb vegyes falazat (családi ház / társasház)</w:t>
      </w:r>
    </w:p>
    <w:p w14:paraId="29F2D1E2"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b) külső fal – 38 cm vagy vastagabb téglafalazat (családi ház / társasház)</w:t>
      </w:r>
    </w:p>
    <w:p w14:paraId="636A9B46"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c) külső fal – vasbeton szendvicsszerkezet (panel épületek esetében)</w:t>
      </w:r>
    </w:p>
    <w:p w14:paraId="0BD3B3E9"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d) padlásfödém</w:t>
      </w:r>
    </w:p>
    <w:p w14:paraId="53A99F33"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e) lapostető (vasbeton)</w:t>
      </w:r>
    </w:p>
    <w:p w14:paraId="2D4D5227"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1.4.2.1. táblázat Minimális szigetelési vastagság</w:t>
      </w:r>
    </w:p>
    <w:p w14:paraId="0A5567DB" w14:textId="77777777" w:rsidR="00585F5C" w:rsidRPr="00B47353" w:rsidRDefault="00585F5C" w:rsidP="00585F5C">
      <w:pPr>
        <w:suppressAutoHyphens/>
        <w:autoSpaceDE w:val="0"/>
        <w:autoSpaceDN w:val="0"/>
        <w:adjustRightInd w:val="0"/>
        <w:spacing w:after="0" w:line="240" w:lineRule="auto"/>
        <w:textAlignment w:val="center"/>
        <w:rPr>
          <w:rFonts w:ascii="Times New Roman" w:hAnsi="Times New Roman" w:cs="Times New Roman"/>
          <w:sz w:val="20"/>
          <w:szCs w:val="12"/>
        </w:rPr>
      </w:pPr>
    </w:p>
    <w:tbl>
      <w:tblPr>
        <w:tblW w:w="0" w:type="auto"/>
        <w:tblInd w:w="-3" w:type="dxa"/>
        <w:tblLayout w:type="fixed"/>
        <w:tblCellMar>
          <w:left w:w="0" w:type="dxa"/>
          <w:right w:w="0" w:type="dxa"/>
        </w:tblCellMar>
        <w:tblLook w:val="0000" w:firstRow="0" w:lastRow="0" w:firstColumn="0" w:lastColumn="0" w:noHBand="0" w:noVBand="0"/>
      </w:tblPr>
      <w:tblGrid>
        <w:gridCol w:w="1018"/>
        <w:gridCol w:w="5386"/>
        <w:gridCol w:w="2265"/>
      </w:tblGrid>
      <w:tr w:rsidR="00585F5C" w:rsidRPr="00B47353" w14:paraId="2F410C12" w14:textId="77777777" w:rsidTr="00201515">
        <w:trPr>
          <w:trHeight w:val="113"/>
        </w:trPr>
        <w:tc>
          <w:tcPr>
            <w:tcW w:w="1018"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097DED31"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4"/>
              </w:rPr>
            </w:pPr>
            <w:r w:rsidRPr="00B47353">
              <w:rPr>
                <w:rFonts w:ascii="Times New Roman" w:hAnsi="Times New Roman" w:cs="Times New Roman"/>
                <w:sz w:val="20"/>
                <w:szCs w:val="14"/>
              </w:rPr>
              <w:t>A</w:t>
            </w:r>
          </w:p>
        </w:tc>
        <w:tc>
          <w:tcPr>
            <w:tcW w:w="5386"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3F011FDB"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4"/>
              </w:rPr>
            </w:pPr>
            <w:r w:rsidRPr="00B47353">
              <w:rPr>
                <w:rFonts w:ascii="Times New Roman" w:hAnsi="Times New Roman" w:cs="Times New Roman"/>
                <w:sz w:val="20"/>
                <w:szCs w:val="14"/>
              </w:rPr>
              <w:t>B</w:t>
            </w:r>
          </w:p>
        </w:tc>
        <w:tc>
          <w:tcPr>
            <w:tcW w:w="2265"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292FF119"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4"/>
              </w:rPr>
            </w:pPr>
            <w:r w:rsidRPr="00B47353">
              <w:rPr>
                <w:rFonts w:ascii="Times New Roman" w:hAnsi="Times New Roman" w:cs="Times New Roman"/>
                <w:sz w:val="20"/>
                <w:szCs w:val="14"/>
              </w:rPr>
              <w:t>C</w:t>
            </w:r>
          </w:p>
        </w:tc>
      </w:tr>
      <w:tr w:rsidR="005F2026" w:rsidRPr="00B47353" w14:paraId="151D35C5" w14:textId="77777777" w:rsidTr="00201515">
        <w:trPr>
          <w:trHeight w:val="113"/>
        </w:trPr>
        <w:tc>
          <w:tcPr>
            <w:tcW w:w="1018"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6D78ED05" w14:textId="77777777" w:rsidR="005F2026" w:rsidRPr="00B47353" w:rsidRDefault="005F2026"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4"/>
              </w:rPr>
            </w:pPr>
            <w:r w:rsidRPr="00B47353">
              <w:rPr>
                <w:rFonts w:ascii="Times New Roman" w:hAnsi="Times New Roman" w:cs="Times New Roman"/>
                <w:sz w:val="20"/>
                <w:szCs w:val="14"/>
              </w:rPr>
              <w:t>Sorok száma</w:t>
            </w:r>
          </w:p>
        </w:tc>
        <w:tc>
          <w:tcPr>
            <w:tcW w:w="5386"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5329DAE4" w14:textId="77777777" w:rsidR="005F2026" w:rsidRPr="00B47353" w:rsidRDefault="005F2026"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4"/>
              </w:rPr>
            </w:pPr>
            <w:r w:rsidRPr="00B47353">
              <w:rPr>
                <w:rFonts w:ascii="Times New Roman" w:hAnsi="Times New Roman" w:cs="Times New Roman"/>
                <w:sz w:val="20"/>
                <w:szCs w:val="14"/>
              </w:rPr>
              <w:t>Szerkezet típus</w:t>
            </w:r>
          </w:p>
        </w:tc>
        <w:tc>
          <w:tcPr>
            <w:tcW w:w="2265"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780432F0" w14:textId="77777777" w:rsidR="005F2026" w:rsidRPr="005F2026" w:rsidRDefault="005F2026" w:rsidP="005F2026">
            <w:pPr>
              <w:spacing w:after="0" w:line="240" w:lineRule="auto"/>
              <w:jc w:val="center"/>
              <w:rPr>
                <w:rFonts w:ascii="Times New Roman" w:hAnsi="Times New Roman" w:cs="Times New Roman"/>
                <w:bCs/>
                <w:sz w:val="20"/>
                <w:szCs w:val="20"/>
              </w:rPr>
            </w:pPr>
            <w:r w:rsidRPr="005F2026">
              <w:rPr>
                <w:rFonts w:ascii="Times New Roman" w:hAnsi="Times New Roman" w:cs="Times New Roman"/>
                <w:bCs/>
                <w:sz w:val="20"/>
                <w:szCs w:val="20"/>
              </w:rPr>
              <w:t>Minimális szigetelés vastagság</w:t>
            </w:r>
          </w:p>
          <w:p w14:paraId="4F83FA11" w14:textId="562112F2" w:rsidR="005F2026" w:rsidRPr="005F2026" w:rsidRDefault="005F2026" w:rsidP="005F2026">
            <w:pPr>
              <w:suppressAutoHyphens/>
              <w:autoSpaceDE w:val="0"/>
              <w:autoSpaceDN w:val="0"/>
              <w:adjustRightInd w:val="0"/>
              <w:spacing w:after="0" w:line="240" w:lineRule="auto"/>
              <w:jc w:val="center"/>
              <w:textAlignment w:val="center"/>
              <w:rPr>
                <w:rFonts w:ascii="Times New Roman" w:hAnsi="Times New Roman" w:cs="Times New Roman"/>
                <w:sz w:val="20"/>
                <w:szCs w:val="20"/>
              </w:rPr>
            </w:pPr>
            <w:r w:rsidRPr="005F2026">
              <w:rPr>
                <w:rFonts w:ascii="Times New Roman" w:hAnsi="Times New Roman" w:cs="Times New Roman"/>
                <w:sz w:val="20"/>
                <w:szCs w:val="20"/>
              </w:rPr>
              <w:t>(</w:t>
            </w:r>
            <m:oMath>
              <m:r>
                <w:rPr>
                  <w:rFonts w:ascii="Cambria Math" w:hAnsi="Cambria Math" w:cs="Times New Roman"/>
                  <w:sz w:val="20"/>
                  <w:szCs w:val="20"/>
                </w:rPr>
                <m:t>λ=0,04</m:t>
              </m:r>
              <m:f>
                <m:fPr>
                  <m:ctrlPr>
                    <w:rPr>
                      <w:rFonts w:ascii="Cambria Math" w:hAnsi="Cambria Math" w:cs="Times New Roman"/>
                      <w:i/>
                      <w:sz w:val="20"/>
                      <w:szCs w:val="20"/>
                    </w:rPr>
                  </m:ctrlPr>
                </m:fPr>
                <m:num>
                  <m:r>
                    <w:rPr>
                      <w:rFonts w:ascii="Cambria Math" w:hAnsi="Cambria Math" w:cs="Times New Roman"/>
                      <w:sz w:val="20"/>
                      <w:szCs w:val="20"/>
                    </w:rPr>
                    <m:t>W</m:t>
                  </m:r>
                </m:num>
                <m:den>
                  <m:r>
                    <w:rPr>
                      <w:rFonts w:ascii="Cambria Math" w:hAnsi="Cambria Math" w:cs="Times New Roman"/>
                      <w:sz w:val="20"/>
                      <w:szCs w:val="20"/>
                    </w:rPr>
                    <m:t>mK</m:t>
                  </m:r>
                </m:den>
              </m:f>
            </m:oMath>
            <w:r w:rsidRPr="005F2026">
              <w:rPr>
                <w:rFonts w:ascii="Times New Roman" w:hAnsi="Times New Roman" w:cs="Times New Roman"/>
                <w:sz w:val="20"/>
                <w:szCs w:val="20"/>
              </w:rPr>
              <w:t xml:space="preserve"> vagy kisebb)</w:t>
            </w:r>
          </w:p>
        </w:tc>
      </w:tr>
      <w:tr w:rsidR="00585F5C" w:rsidRPr="00B47353" w14:paraId="3A5F690B" w14:textId="77777777" w:rsidTr="00201515">
        <w:trPr>
          <w:trHeight w:val="113"/>
        </w:trPr>
        <w:tc>
          <w:tcPr>
            <w:tcW w:w="1018"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1CA48702"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8"/>
              </w:rPr>
            </w:pPr>
            <w:r w:rsidRPr="00B47353">
              <w:rPr>
                <w:rFonts w:ascii="Times New Roman" w:hAnsi="Times New Roman" w:cs="Times New Roman"/>
                <w:sz w:val="20"/>
                <w:szCs w:val="18"/>
              </w:rPr>
              <w:t>1</w:t>
            </w:r>
          </w:p>
        </w:tc>
        <w:tc>
          <w:tcPr>
            <w:tcW w:w="5386"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6EDC134B" w14:textId="77777777" w:rsidR="00585F5C" w:rsidRPr="00B47353" w:rsidRDefault="00585F5C" w:rsidP="00585F5C">
            <w:pPr>
              <w:suppressAutoHyphens/>
              <w:autoSpaceDE w:val="0"/>
              <w:autoSpaceDN w:val="0"/>
              <w:adjustRightInd w:val="0"/>
              <w:spacing w:after="0" w:line="240" w:lineRule="auto"/>
              <w:textAlignment w:val="center"/>
              <w:rPr>
                <w:rFonts w:ascii="Times New Roman" w:hAnsi="Times New Roman" w:cs="Times New Roman"/>
                <w:sz w:val="20"/>
                <w:szCs w:val="18"/>
              </w:rPr>
            </w:pPr>
            <w:r w:rsidRPr="00B47353">
              <w:rPr>
                <w:rFonts w:ascii="Times New Roman" w:hAnsi="Times New Roman" w:cs="Times New Roman"/>
                <w:sz w:val="20"/>
                <w:szCs w:val="18"/>
              </w:rPr>
              <w:t>külső fal – 30 cm téglafalazat (családi ház / társasház)</w:t>
            </w:r>
          </w:p>
        </w:tc>
        <w:tc>
          <w:tcPr>
            <w:tcW w:w="2265"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0BDD0D99"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8"/>
              </w:rPr>
            </w:pPr>
            <w:r w:rsidRPr="00B47353">
              <w:rPr>
                <w:rFonts w:ascii="Times New Roman" w:hAnsi="Times New Roman" w:cs="Times New Roman"/>
                <w:sz w:val="20"/>
                <w:szCs w:val="18"/>
              </w:rPr>
              <w:t>18 cm</w:t>
            </w:r>
          </w:p>
        </w:tc>
      </w:tr>
      <w:tr w:rsidR="00585F5C" w:rsidRPr="00B47353" w14:paraId="0473FF9E" w14:textId="77777777" w:rsidTr="00201515">
        <w:trPr>
          <w:trHeight w:val="113"/>
        </w:trPr>
        <w:tc>
          <w:tcPr>
            <w:tcW w:w="1018"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794DA941"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8"/>
              </w:rPr>
            </w:pPr>
            <w:r w:rsidRPr="00B47353">
              <w:rPr>
                <w:rFonts w:ascii="Times New Roman" w:hAnsi="Times New Roman" w:cs="Times New Roman"/>
                <w:sz w:val="20"/>
                <w:szCs w:val="18"/>
              </w:rPr>
              <w:t>2</w:t>
            </w:r>
          </w:p>
        </w:tc>
        <w:tc>
          <w:tcPr>
            <w:tcW w:w="5386"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33630FC9" w14:textId="77777777" w:rsidR="00585F5C" w:rsidRPr="00B47353" w:rsidRDefault="00585F5C" w:rsidP="00585F5C">
            <w:pPr>
              <w:suppressAutoHyphens/>
              <w:autoSpaceDE w:val="0"/>
              <w:autoSpaceDN w:val="0"/>
              <w:adjustRightInd w:val="0"/>
              <w:spacing w:after="0" w:line="240" w:lineRule="auto"/>
              <w:textAlignment w:val="center"/>
              <w:rPr>
                <w:rFonts w:ascii="Times New Roman" w:hAnsi="Times New Roman" w:cs="Times New Roman"/>
                <w:sz w:val="20"/>
                <w:szCs w:val="18"/>
              </w:rPr>
            </w:pPr>
            <w:r w:rsidRPr="00B47353">
              <w:rPr>
                <w:rFonts w:ascii="Times New Roman" w:hAnsi="Times New Roman" w:cs="Times New Roman"/>
                <w:sz w:val="20"/>
                <w:szCs w:val="18"/>
              </w:rPr>
              <w:t>külső fal – 38 cm vagy vastagabb téglafalazat (családi ház / társasház)</w:t>
            </w:r>
          </w:p>
        </w:tc>
        <w:tc>
          <w:tcPr>
            <w:tcW w:w="2265"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7A615E85"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8"/>
              </w:rPr>
            </w:pPr>
            <w:r w:rsidRPr="00B47353">
              <w:rPr>
                <w:rFonts w:ascii="Times New Roman" w:hAnsi="Times New Roman" w:cs="Times New Roman"/>
                <w:sz w:val="20"/>
                <w:szCs w:val="18"/>
              </w:rPr>
              <w:t>15 cm</w:t>
            </w:r>
          </w:p>
        </w:tc>
      </w:tr>
      <w:tr w:rsidR="00585F5C" w:rsidRPr="00B47353" w14:paraId="09359A13" w14:textId="77777777" w:rsidTr="00201515">
        <w:trPr>
          <w:trHeight w:val="113"/>
        </w:trPr>
        <w:tc>
          <w:tcPr>
            <w:tcW w:w="1018"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71220811"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8"/>
              </w:rPr>
            </w:pPr>
            <w:r w:rsidRPr="00B47353">
              <w:rPr>
                <w:rFonts w:ascii="Times New Roman" w:hAnsi="Times New Roman" w:cs="Times New Roman"/>
                <w:sz w:val="20"/>
                <w:szCs w:val="18"/>
              </w:rPr>
              <w:t>3</w:t>
            </w:r>
          </w:p>
        </w:tc>
        <w:tc>
          <w:tcPr>
            <w:tcW w:w="5386"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419C72CE" w14:textId="77777777" w:rsidR="00585F5C" w:rsidRPr="00B47353" w:rsidRDefault="00585F5C" w:rsidP="00585F5C">
            <w:pPr>
              <w:suppressAutoHyphens/>
              <w:autoSpaceDE w:val="0"/>
              <w:autoSpaceDN w:val="0"/>
              <w:adjustRightInd w:val="0"/>
              <w:spacing w:after="0" w:line="240" w:lineRule="auto"/>
              <w:textAlignment w:val="center"/>
              <w:rPr>
                <w:rFonts w:ascii="Times New Roman" w:hAnsi="Times New Roman" w:cs="Times New Roman"/>
                <w:sz w:val="20"/>
                <w:szCs w:val="18"/>
              </w:rPr>
            </w:pPr>
            <w:r w:rsidRPr="00B47353">
              <w:rPr>
                <w:rFonts w:ascii="Times New Roman" w:hAnsi="Times New Roman" w:cs="Times New Roman"/>
                <w:sz w:val="20"/>
                <w:szCs w:val="18"/>
              </w:rPr>
              <w:t>külső fal – vasbeton szendvicsszerkezet (panel)</w:t>
            </w:r>
          </w:p>
        </w:tc>
        <w:tc>
          <w:tcPr>
            <w:tcW w:w="2265"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29ED21C7"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8"/>
              </w:rPr>
            </w:pPr>
            <w:r w:rsidRPr="00B47353">
              <w:rPr>
                <w:rFonts w:ascii="Times New Roman" w:hAnsi="Times New Roman" w:cs="Times New Roman"/>
                <w:sz w:val="20"/>
                <w:szCs w:val="18"/>
              </w:rPr>
              <w:t>16 cm</w:t>
            </w:r>
          </w:p>
        </w:tc>
      </w:tr>
      <w:tr w:rsidR="00585F5C" w:rsidRPr="00B47353" w14:paraId="6D26F85C" w14:textId="77777777" w:rsidTr="00201515">
        <w:trPr>
          <w:trHeight w:val="113"/>
        </w:trPr>
        <w:tc>
          <w:tcPr>
            <w:tcW w:w="1018"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68648904"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8"/>
              </w:rPr>
            </w:pPr>
            <w:r w:rsidRPr="00B47353">
              <w:rPr>
                <w:rFonts w:ascii="Times New Roman" w:hAnsi="Times New Roman" w:cs="Times New Roman"/>
                <w:sz w:val="20"/>
                <w:szCs w:val="18"/>
              </w:rPr>
              <w:t>4</w:t>
            </w:r>
          </w:p>
        </w:tc>
        <w:tc>
          <w:tcPr>
            <w:tcW w:w="5386"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73E94E8B" w14:textId="77777777" w:rsidR="00585F5C" w:rsidRPr="00B47353" w:rsidRDefault="00585F5C" w:rsidP="00585F5C">
            <w:pPr>
              <w:suppressAutoHyphens/>
              <w:autoSpaceDE w:val="0"/>
              <w:autoSpaceDN w:val="0"/>
              <w:adjustRightInd w:val="0"/>
              <w:spacing w:after="0" w:line="240" w:lineRule="auto"/>
              <w:textAlignment w:val="center"/>
              <w:rPr>
                <w:rFonts w:ascii="Times New Roman" w:hAnsi="Times New Roman" w:cs="Times New Roman"/>
                <w:sz w:val="20"/>
                <w:szCs w:val="18"/>
              </w:rPr>
            </w:pPr>
            <w:r w:rsidRPr="00B47353">
              <w:rPr>
                <w:rFonts w:ascii="Times New Roman" w:hAnsi="Times New Roman" w:cs="Times New Roman"/>
                <w:sz w:val="20"/>
                <w:szCs w:val="18"/>
              </w:rPr>
              <w:t xml:space="preserve">padlásfödém </w:t>
            </w:r>
          </w:p>
        </w:tc>
        <w:tc>
          <w:tcPr>
            <w:tcW w:w="2265"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58772082"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8"/>
              </w:rPr>
            </w:pPr>
            <w:r w:rsidRPr="00B47353">
              <w:rPr>
                <w:rFonts w:ascii="Times New Roman" w:hAnsi="Times New Roman" w:cs="Times New Roman"/>
                <w:sz w:val="20"/>
                <w:szCs w:val="18"/>
              </w:rPr>
              <w:t xml:space="preserve">30 cm </w:t>
            </w:r>
          </w:p>
        </w:tc>
      </w:tr>
      <w:tr w:rsidR="00585F5C" w:rsidRPr="00B47353" w14:paraId="2C8E10BF" w14:textId="77777777" w:rsidTr="00201515">
        <w:trPr>
          <w:trHeight w:val="113"/>
        </w:trPr>
        <w:tc>
          <w:tcPr>
            <w:tcW w:w="1018"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0B12D929"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8"/>
              </w:rPr>
            </w:pPr>
            <w:r w:rsidRPr="00B47353">
              <w:rPr>
                <w:rFonts w:ascii="Times New Roman" w:hAnsi="Times New Roman" w:cs="Times New Roman"/>
                <w:sz w:val="20"/>
                <w:szCs w:val="18"/>
              </w:rPr>
              <w:t>5</w:t>
            </w:r>
          </w:p>
        </w:tc>
        <w:tc>
          <w:tcPr>
            <w:tcW w:w="5386"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6D21B78F" w14:textId="77777777" w:rsidR="00585F5C" w:rsidRPr="00B47353" w:rsidRDefault="00585F5C" w:rsidP="00585F5C">
            <w:pPr>
              <w:suppressAutoHyphens/>
              <w:autoSpaceDE w:val="0"/>
              <w:autoSpaceDN w:val="0"/>
              <w:adjustRightInd w:val="0"/>
              <w:spacing w:after="0" w:line="240" w:lineRule="auto"/>
              <w:textAlignment w:val="center"/>
              <w:rPr>
                <w:rFonts w:ascii="Times New Roman" w:hAnsi="Times New Roman" w:cs="Times New Roman"/>
                <w:sz w:val="20"/>
                <w:szCs w:val="18"/>
              </w:rPr>
            </w:pPr>
            <w:r w:rsidRPr="00B47353">
              <w:rPr>
                <w:rFonts w:ascii="Times New Roman" w:hAnsi="Times New Roman" w:cs="Times New Roman"/>
                <w:sz w:val="20"/>
                <w:szCs w:val="18"/>
              </w:rPr>
              <w:t>lapostető (vasbeton)</w:t>
            </w:r>
          </w:p>
        </w:tc>
        <w:tc>
          <w:tcPr>
            <w:tcW w:w="2265"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418BD598"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8"/>
              </w:rPr>
            </w:pPr>
            <w:r w:rsidRPr="00B47353">
              <w:rPr>
                <w:rFonts w:ascii="Times New Roman" w:hAnsi="Times New Roman" w:cs="Times New Roman"/>
                <w:sz w:val="20"/>
                <w:szCs w:val="18"/>
              </w:rPr>
              <w:t>20 cm</w:t>
            </w:r>
          </w:p>
        </w:tc>
      </w:tr>
    </w:tbl>
    <w:p w14:paraId="612531C6" w14:textId="77777777" w:rsidR="00585F5C" w:rsidRPr="00B47353" w:rsidRDefault="00585F5C" w:rsidP="00585F5C">
      <w:pPr>
        <w:suppressAutoHyphens/>
        <w:autoSpaceDE w:val="0"/>
        <w:autoSpaceDN w:val="0"/>
        <w:adjustRightInd w:val="0"/>
        <w:spacing w:after="0" w:line="240" w:lineRule="auto"/>
        <w:textAlignment w:val="center"/>
        <w:rPr>
          <w:rFonts w:ascii="Times New Roman" w:hAnsi="Times New Roman" w:cs="Times New Roman"/>
          <w:sz w:val="20"/>
          <w:szCs w:val="12"/>
        </w:rPr>
      </w:pPr>
    </w:p>
    <w:p w14:paraId="6AF35038"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1.4.3. Az intézkedés élettartama</w:t>
      </w:r>
    </w:p>
    <w:p w14:paraId="135965A3"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Az intézkedés élettartama 25 év.</w:t>
      </w:r>
    </w:p>
    <w:p w14:paraId="679CEA44"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1.4.4. Az intézkedés hatásának csökkenése évente – avulás mértéke</w:t>
      </w:r>
    </w:p>
    <w:p w14:paraId="09D41A8F"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Az intézkedés alkalmazása esetén az energiamegtakarítás éves avulásával nem kell számolni.</w:t>
      </w:r>
    </w:p>
    <w:p w14:paraId="290B89FC"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1.4.5. Az intézkedés által elért energiamegtakarítás számítási elve</w:t>
      </w:r>
    </w:p>
    <w:p w14:paraId="3AB95E91"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A kidolgozott módszer kizárólag olyan elemeket hagy el a számításból, amelyek a vizsgált intézkedések végrehajtása esetén nem, vagy csak minimális mértékben változnak. A módszertan kidolgozása során, 2000 épületen alapuló reprezentatív felmérés épületanalitikai adatbázisa került alkalmazásra. Energetikai számítások alapján meghatározott alsó határértékeket veszi figyelembe a számítás.</w:t>
      </w:r>
    </w:p>
    <w:p w14:paraId="746DA83B"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1.4.6. Követelményértékek</w:t>
      </w:r>
    </w:p>
    <w:p w14:paraId="2DDBCB2F"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Az 1.4.2.1. táblázatban megadott minimális szigetelés vastagság tetőszerkezet esetén</w:t>
      </w:r>
    </w:p>
    <w:p w14:paraId="640E8557"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padlásfödém: szálas szigetelőanyag (különösen ásványgyapot, üveggyapot);</w:t>
      </w:r>
    </w:p>
    <w:p w14:paraId="1C1E4E72"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lapostető: különösen XPS szigetelőanyag vagy azzal egyenértékű egyéb szigetelőanyag</w:t>
      </w:r>
    </w:p>
    <w:p w14:paraId="51B43E36"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1.4.7. Az energiamegtakarítás számítása</w:t>
      </w:r>
    </w:p>
    <w:p w14:paraId="0AC36C72"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lastRenderedPageBreak/>
        <w:t>1.4.7.1. táblázat Végső energiamegtakarítás számítási módszere</w:t>
      </w:r>
    </w:p>
    <w:p w14:paraId="06240831" w14:textId="77777777" w:rsidR="00585F5C" w:rsidRPr="00B47353" w:rsidRDefault="00585F5C" w:rsidP="00585F5C">
      <w:pPr>
        <w:suppressAutoHyphens/>
        <w:autoSpaceDE w:val="0"/>
        <w:autoSpaceDN w:val="0"/>
        <w:adjustRightInd w:val="0"/>
        <w:spacing w:after="0" w:line="240" w:lineRule="auto"/>
        <w:textAlignment w:val="center"/>
        <w:rPr>
          <w:rFonts w:ascii="Times New Roman" w:hAnsi="Times New Roman" w:cs="Times New Roman"/>
          <w:sz w:val="20"/>
          <w:szCs w:val="12"/>
        </w:rPr>
      </w:pPr>
    </w:p>
    <w:tbl>
      <w:tblPr>
        <w:tblW w:w="0" w:type="auto"/>
        <w:tblInd w:w="-3" w:type="dxa"/>
        <w:tblLayout w:type="fixed"/>
        <w:tblCellMar>
          <w:left w:w="0" w:type="dxa"/>
          <w:right w:w="0" w:type="dxa"/>
        </w:tblCellMar>
        <w:tblLook w:val="0000" w:firstRow="0" w:lastRow="0" w:firstColumn="0" w:lastColumn="0" w:noHBand="0" w:noVBand="0"/>
      </w:tblPr>
      <w:tblGrid>
        <w:gridCol w:w="735"/>
        <w:gridCol w:w="2267"/>
        <w:gridCol w:w="5667"/>
      </w:tblGrid>
      <w:tr w:rsidR="00585F5C" w:rsidRPr="00B47353" w14:paraId="33D90D13" w14:textId="77777777" w:rsidTr="00201515">
        <w:trPr>
          <w:trHeight w:val="113"/>
        </w:trPr>
        <w:tc>
          <w:tcPr>
            <w:tcW w:w="735"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2F5AEAD0"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4"/>
              </w:rPr>
            </w:pPr>
            <w:r w:rsidRPr="00B47353">
              <w:rPr>
                <w:rFonts w:ascii="Times New Roman" w:hAnsi="Times New Roman" w:cs="Times New Roman"/>
                <w:sz w:val="20"/>
                <w:szCs w:val="14"/>
              </w:rPr>
              <w:t>A</w:t>
            </w:r>
          </w:p>
        </w:tc>
        <w:tc>
          <w:tcPr>
            <w:tcW w:w="2267"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4DEEEB14"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4"/>
              </w:rPr>
            </w:pPr>
            <w:r w:rsidRPr="00B47353">
              <w:rPr>
                <w:rFonts w:ascii="Times New Roman" w:hAnsi="Times New Roman" w:cs="Times New Roman"/>
                <w:sz w:val="20"/>
                <w:szCs w:val="14"/>
              </w:rPr>
              <w:t>B</w:t>
            </w:r>
          </w:p>
        </w:tc>
        <w:tc>
          <w:tcPr>
            <w:tcW w:w="5667"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61BD3CF9"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4"/>
              </w:rPr>
            </w:pPr>
            <w:r w:rsidRPr="00B47353">
              <w:rPr>
                <w:rFonts w:ascii="Times New Roman" w:hAnsi="Times New Roman" w:cs="Times New Roman"/>
                <w:sz w:val="20"/>
                <w:szCs w:val="14"/>
              </w:rPr>
              <w:t>C</w:t>
            </w:r>
          </w:p>
        </w:tc>
      </w:tr>
      <w:tr w:rsidR="00585F5C" w:rsidRPr="00B47353" w14:paraId="2E0DB6EC" w14:textId="77777777" w:rsidTr="00201515">
        <w:trPr>
          <w:trHeight w:val="113"/>
        </w:trPr>
        <w:tc>
          <w:tcPr>
            <w:tcW w:w="735"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28D76BF8"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4"/>
              </w:rPr>
            </w:pPr>
            <w:r w:rsidRPr="00B47353">
              <w:rPr>
                <w:rFonts w:ascii="Times New Roman" w:hAnsi="Times New Roman" w:cs="Times New Roman"/>
                <w:sz w:val="20"/>
                <w:szCs w:val="14"/>
              </w:rPr>
              <w:t>Sorok száma</w:t>
            </w:r>
          </w:p>
        </w:tc>
        <w:tc>
          <w:tcPr>
            <w:tcW w:w="2267"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6B55C94E"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4"/>
              </w:rPr>
            </w:pPr>
            <w:r w:rsidRPr="00B47353">
              <w:rPr>
                <w:rFonts w:ascii="Times New Roman" w:hAnsi="Times New Roman" w:cs="Times New Roman"/>
                <w:sz w:val="20"/>
                <w:szCs w:val="14"/>
              </w:rPr>
              <w:t>Végső energiamegtakarítás</w:t>
            </w:r>
            <w:r w:rsidRPr="00B47353">
              <w:rPr>
                <w:rFonts w:ascii="Times New Roman" w:hAnsi="Times New Roman" w:cs="Times New Roman"/>
                <w:sz w:val="20"/>
                <w:szCs w:val="14"/>
              </w:rPr>
              <w:br/>
            </w:r>
            <w:r w:rsidRPr="00B47353">
              <w:rPr>
                <w:rFonts w:ascii="Times New Roman" w:hAnsi="Times New Roman" w:cs="Times New Roman"/>
                <w:i/>
                <w:iCs/>
                <w:sz w:val="20"/>
                <w:szCs w:val="14"/>
              </w:rPr>
              <w:t>[GJ]</w:t>
            </w:r>
          </w:p>
        </w:tc>
        <w:tc>
          <w:tcPr>
            <w:tcW w:w="5667"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5518A8B9"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4"/>
              </w:rPr>
            </w:pPr>
            <w:r w:rsidRPr="00B47353">
              <w:rPr>
                <w:rFonts w:ascii="Times New Roman" w:hAnsi="Times New Roman" w:cs="Times New Roman"/>
                <w:sz w:val="20"/>
                <w:szCs w:val="14"/>
              </w:rPr>
              <w:t>Szerkezeti felület típus</w:t>
            </w:r>
          </w:p>
        </w:tc>
      </w:tr>
      <w:tr w:rsidR="00585F5C" w:rsidRPr="00B47353" w14:paraId="5C0AACC2" w14:textId="77777777" w:rsidTr="00201515">
        <w:trPr>
          <w:trHeight w:val="113"/>
        </w:trPr>
        <w:tc>
          <w:tcPr>
            <w:tcW w:w="735"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5F2F3CEC"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8"/>
              </w:rPr>
            </w:pPr>
            <w:r w:rsidRPr="00B47353">
              <w:rPr>
                <w:rFonts w:ascii="Times New Roman" w:hAnsi="Times New Roman" w:cs="Times New Roman"/>
                <w:sz w:val="20"/>
                <w:szCs w:val="18"/>
              </w:rPr>
              <w:t>1</w:t>
            </w:r>
          </w:p>
        </w:tc>
        <w:tc>
          <w:tcPr>
            <w:tcW w:w="2267"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324104A0"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8"/>
              </w:rPr>
            </w:pPr>
            <w:r w:rsidRPr="00B47353">
              <w:rPr>
                <w:rFonts w:ascii="Times New Roman" w:hAnsi="Times New Roman" w:cs="Times New Roman"/>
                <w:sz w:val="20"/>
                <w:szCs w:val="18"/>
              </w:rPr>
              <w:t>∆</w:t>
            </w:r>
            <w:r w:rsidRPr="00B47353">
              <w:rPr>
                <w:rFonts w:ascii="Times New Roman" w:hAnsi="Times New Roman" w:cs="Times New Roman"/>
                <w:i/>
                <w:iCs/>
                <w:sz w:val="20"/>
                <w:szCs w:val="18"/>
              </w:rPr>
              <w:t>E</w:t>
            </w:r>
            <w:r w:rsidRPr="00B47353">
              <w:rPr>
                <w:rFonts w:ascii="Times New Roman" w:hAnsi="Times New Roman" w:cs="Times New Roman"/>
                <w:sz w:val="20"/>
                <w:szCs w:val="18"/>
                <w:vertAlign w:val="subscript"/>
              </w:rPr>
              <w:t>1</w:t>
            </w:r>
            <w:r w:rsidRPr="00B47353">
              <w:rPr>
                <w:rFonts w:ascii="Times New Roman" w:hAnsi="Times New Roman" w:cs="Times New Roman"/>
                <w:sz w:val="20"/>
                <w:szCs w:val="18"/>
              </w:rPr>
              <w:t xml:space="preserve"> = </w:t>
            </w:r>
            <w:r w:rsidRPr="00B47353">
              <w:rPr>
                <w:rFonts w:ascii="Times New Roman" w:hAnsi="Times New Roman" w:cs="Times New Roman"/>
                <w:i/>
                <w:iCs/>
                <w:sz w:val="20"/>
                <w:szCs w:val="18"/>
              </w:rPr>
              <w:t>A</w:t>
            </w:r>
            <w:r w:rsidRPr="00B47353">
              <w:rPr>
                <w:rFonts w:ascii="Times New Roman" w:hAnsi="Times New Roman" w:cs="Times New Roman"/>
                <w:i/>
                <w:iCs/>
                <w:sz w:val="20"/>
                <w:szCs w:val="18"/>
                <w:vertAlign w:val="subscript"/>
              </w:rPr>
              <w:t>i</w:t>
            </w:r>
            <w:r w:rsidRPr="00B47353">
              <w:rPr>
                <w:rFonts w:ascii="Times New Roman" w:hAnsi="Times New Roman" w:cs="Times New Roman"/>
                <w:sz w:val="20"/>
                <w:szCs w:val="18"/>
              </w:rPr>
              <w:t xml:space="preserve"> × 0,37</w:t>
            </w:r>
          </w:p>
        </w:tc>
        <w:tc>
          <w:tcPr>
            <w:tcW w:w="5667"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035B2E45" w14:textId="77777777" w:rsidR="00585F5C" w:rsidRPr="00B47353" w:rsidRDefault="00585F5C" w:rsidP="00585F5C">
            <w:pPr>
              <w:suppressAutoHyphens/>
              <w:autoSpaceDE w:val="0"/>
              <w:autoSpaceDN w:val="0"/>
              <w:adjustRightInd w:val="0"/>
              <w:spacing w:after="0" w:line="240" w:lineRule="auto"/>
              <w:textAlignment w:val="center"/>
              <w:rPr>
                <w:rFonts w:ascii="Times New Roman" w:hAnsi="Times New Roman" w:cs="Times New Roman"/>
                <w:sz w:val="20"/>
                <w:szCs w:val="18"/>
              </w:rPr>
            </w:pPr>
            <w:r w:rsidRPr="00B47353">
              <w:rPr>
                <w:rFonts w:ascii="Times New Roman" w:hAnsi="Times New Roman" w:cs="Times New Roman"/>
                <w:sz w:val="20"/>
                <w:szCs w:val="18"/>
              </w:rPr>
              <w:t>külső fal – 30 cm téglafalazat (családi ház / társasház)</w:t>
            </w:r>
          </w:p>
        </w:tc>
      </w:tr>
      <w:tr w:rsidR="00585F5C" w:rsidRPr="00B47353" w14:paraId="219553C4" w14:textId="77777777" w:rsidTr="00201515">
        <w:trPr>
          <w:trHeight w:val="553"/>
        </w:trPr>
        <w:tc>
          <w:tcPr>
            <w:tcW w:w="735"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20928850"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8"/>
              </w:rPr>
            </w:pPr>
            <w:r w:rsidRPr="00B47353">
              <w:rPr>
                <w:rFonts w:ascii="Times New Roman" w:hAnsi="Times New Roman" w:cs="Times New Roman"/>
                <w:sz w:val="20"/>
                <w:szCs w:val="18"/>
              </w:rPr>
              <w:t>2</w:t>
            </w:r>
          </w:p>
        </w:tc>
        <w:tc>
          <w:tcPr>
            <w:tcW w:w="2267"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308425E0"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8"/>
              </w:rPr>
            </w:pPr>
            <w:r w:rsidRPr="00B47353">
              <w:rPr>
                <w:rFonts w:ascii="Times New Roman" w:hAnsi="Times New Roman" w:cs="Times New Roman"/>
                <w:sz w:val="20"/>
                <w:szCs w:val="18"/>
              </w:rPr>
              <w:t>∆</w:t>
            </w:r>
            <w:r w:rsidRPr="00B47353">
              <w:rPr>
                <w:rFonts w:ascii="Times New Roman" w:hAnsi="Times New Roman" w:cs="Times New Roman"/>
                <w:i/>
                <w:iCs/>
                <w:sz w:val="20"/>
                <w:szCs w:val="18"/>
              </w:rPr>
              <w:t>E</w:t>
            </w:r>
            <w:r w:rsidRPr="00B47353">
              <w:rPr>
                <w:rFonts w:ascii="Times New Roman" w:hAnsi="Times New Roman" w:cs="Times New Roman"/>
                <w:sz w:val="20"/>
                <w:szCs w:val="18"/>
                <w:vertAlign w:val="subscript"/>
              </w:rPr>
              <w:t>2</w:t>
            </w:r>
            <w:r w:rsidRPr="00B47353">
              <w:rPr>
                <w:rFonts w:ascii="Times New Roman" w:hAnsi="Times New Roman" w:cs="Times New Roman"/>
                <w:sz w:val="20"/>
                <w:szCs w:val="18"/>
              </w:rPr>
              <w:t xml:space="preserve"> = </w:t>
            </w:r>
            <w:r w:rsidRPr="00B47353">
              <w:rPr>
                <w:rFonts w:ascii="Times New Roman" w:hAnsi="Times New Roman" w:cs="Times New Roman"/>
                <w:i/>
                <w:iCs/>
                <w:sz w:val="20"/>
                <w:szCs w:val="18"/>
              </w:rPr>
              <w:t>A</w:t>
            </w:r>
            <w:r w:rsidRPr="00B47353">
              <w:rPr>
                <w:rFonts w:ascii="Times New Roman" w:hAnsi="Times New Roman" w:cs="Times New Roman"/>
                <w:i/>
                <w:iCs/>
                <w:sz w:val="20"/>
                <w:szCs w:val="18"/>
                <w:vertAlign w:val="subscript"/>
              </w:rPr>
              <w:t>i</w:t>
            </w:r>
            <w:r w:rsidRPr="00B47353">
              <w:rPr>
                <w:rFonts w:ascii="Times New Roman" w:hAnsi="Times New Roman" w:cs="Times New Roman"/>
                <w:sz w:val="20"/>
                <w:szCs w:val="18"/>
              </w:rPr>
              <w:t xml:space="preserve"> × 0,27</w:t>
            </w:r>
          </w:p>
        </w:tc>
        <w:tc>
          <w:tcPr>
            <w:tcW w:w="5667"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58ADE0C9" w14:textId="77777777" w:rsidR="00585F5C" w:rsidRPr="00B47353" w:rsidRDefault="00585F5C" w:rsidP="00585F5C">
            <w:pPr>
              <w:suppressAutoHyphens/>
              <w:autoSpaceDE w:val="0"/>
              <w:autoSpaceDN w:val="0"/>
              <w:adjustRightInd w:val="0"/>
              <w:spacing w:after="0" w:line="240" w:lineRule="auto"/>
              <w:textAlignment w:val="center"/>
              <w:rPr>
                <w:rFonts w:ascii="Times New Roman" w:hAnsi="Times New Roman" w:cs="Times New Roman"/>
                <w:sz w:val="20"/>
                <w:szCs w:val="18"/>
              </w:rPr>
            </w:pPr>
            <w:r w:rsidRPr="00B47353">
              <w:rPr>
                <w:rFonts w:ascii="Times New Roman" w:hAnsi="Times New Roman" w:cs="Times New Roman"/>
                <w:sz w:val="20"/>
                <w:szCs w:val="18"/>
              </w:rPr>
              <w:t>külső fal – 38 cm vagy vastagabb téglafalazat (családi ház / társasház)</w:t>
            </w:r>
          </w:p>
        </w:tc>
      </w:tr>
      <w:tr w:rsidR="00585F5C" w:rsidRPr="00B47353" w14:paraId="08CC0917" w14:textId="77777777" w:rsidTr="00201515">
        <w:trPr>
          <w:trHeight w:val="113"/>
        </w:trPr>
        <w:tc>
          <w:tcPr>
            <w:tcW w:w="735"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78BB4A62"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8"/>
              </w:rPr>
            </w:pPr>
            <w:r w:rsidRPr="00B47353">
              <w:rPr>
                <w:rFonts w:ascii="Times New Roman" w:hAnsi="Times New Roman" w:cs="Times New Roman"/>
                <w:sz w:val="20"/>
                <w:szCs w:val="18"/>
              </w:rPr>
              <w:t>3</w:t>
            </w:r>
          </w:p>
        </w:tc>
        <w:tc>
          <w:tcPr>
            <w:tcW w:w="2267"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44219D0B"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8"/>
              </w:rPr>
            </w:pPr>
            <w:r w:rsidRPr="00B47353">
              <w:rPr>
                <w:rFonts w:ascii="Times New Roman" w:hAnsi="Times New Roman" w:cs="Times New Roman"/>
                <w:sz w:val="20"/>
                <w:szCs w:val="18"/>
              </w:rPr>
              <w:t>∆</w:t>
            </w:r>
            <w:r w:rsidRPr="00B47353">
              <w:rPr>
                <w:rFonts w:ascii="Times New Roman" w:hAnsi="Times New Roman" w:cs="Times New Roman"/>
                <w:i/>
                <w:iCs/>
                <w:sz w:val="20"/>
                <w:szCs w:val="18"/>
              </w:rPr>
              <w:t>E</w:t>
            </w:r>
            <w:r w:rsidRPr="00B47353">
              <w:rPr>
                <w:rFonts w:ascii="Times New Roman" w:hAnsi="Times New Roman" w:cs="Times New Roman"/>
                <w:sz w:val="20"/>
                <w:szCs w:val="18"/>
                <w:vertAlign w:val="subscript"/>
              </w:rPr>
              <w:t>3</w:t>
            </w:r>
            <w:r w:rsidRPr="00B47353">
              <w:rPr>
                <w:rFonts w:ascii="Times New Roman" w:hAnsi="Times New Roman" w:cs="Times New Roman"/>
                <w:sz w:val="20"/>
                <w:szCs w:val="18"/>
              </w:rPr>
              <w:t xml:space="preserve"> = </w:t>
            </w:r>
            <w:r w:rsidRPr="00B47353">
              <w:rPr>
                <w:rFonts w:ascii="Times New Roman" w:hAnsi="Times New Roman" w:cs="Times New Roman"/>
                <w:i/>
                <w:iCs/>
                <w:sz w:val="20"/>
                <w:szCs w:val="18"/>
              </w:rPr>
              <w:t>A</w:t>
            </w:r>
            <w:r w:rsidRPr="00B47353">
              <w:rPr>
                <w:rFonts w:ascii="Times New Roman" w:hAnsi="Times New Roman" w:cs="Times New Roman"/>
                <w:i/>
                <w:iCs/>
                <w:sz w:val="20"/>
                <w:szCs w:val="18"/>
                <w:vertAlign w:val="subscript"/>
              </w:rPr>
              <w:t>i</w:t>
            </w:r>
            <w:r w:rsidRPr="00B47353">
              <w:rPr>
                <w:rFonts w:ascii="Times New Roman" w:hAnsi="Times New Roman" w:cs="Times New Roman"/>
                <w:sz w:val="20"/>
                <w:szCs w:val="18"/>
              </w:rPr>
              <w:t xml:space="preserve"> × 0,33</w:t>
            </w:r>
          </w:p>
        </w:tc>
        <w:tc>
          <w:tcPr>
            <w:tcW w:w="5667"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58928A2F" w14:textId="77777777" w:rsidR="00585F5C" w:rsidRPr="00B47353" w:rsidRDefault="00585F5C" w:rsidP="00585F5C">
            <w:pPr>
              <w:suppressAutoHyphens/>
              <w:autoSpaceDE w:val="0"/>
              <w:autoSpaceDN w:val="0"/>
              <w:adjustRightInd w:val="0"/>
              <w:spacing w:after="0" w:line="240" w:lineRule="auto"/>
              <w:textAlignment w:val="center"/>
              <w:rPr>
                <w:rFonts w:ascii="Times New Roman" w:hAnsi="Times New Roman" w:cs="Times New Roman"/>
                <w:sz w:val="20"/>
                <w:szCs w:val="18"/>
              </w:rPr>
            </w:pPr>
            <w:r w:rsidRPr="00B47353">
              <w:rPr>
                <w:rFonts w:ascii="Times New Roman" w:hAnsi="Times New Roman" w:cs="Times New Roman"/>
                <w:sz w:val="20"/>
                <w:szCs w:val="18"/>
              </w:rPr>
              <w:t>külső fal – vasbeton szendvicsszerkezet (panel)</w:t>
            </w:r>
          </w:p>
        </w:tc>
      </w:tr>
      <w:tr w:rsidR="00585F5C" w:rsidRPr="00B47353" w14:paraId="68267F70" w14:textId="77777777" w:rsidTr="00201515">
        <w:trPr>
          <w:trHeight w:val="113"/>
        </w:trPr>
        <w:tc>
          <w:tcPr>
            <w:tcW w:w="735"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16856CEF"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8"/>
              </w:rPr>
            </w:pPr>
            <w:r w:rsidRPr="00B47353">
              <w:rPr>
                <w:rFonts w:ascii="Times New Roman" w:hAnsi="Times New Roman" w:cs="Times New Roman"/>
                <w:sz w:val="20"/>
                <w:szCs w:val="18"/>
              </w:rPr>
              <w:t>4</w:t>
            </w:r>
          </w:p>
        </w:tc>
        <w:tc>
          <w:tcPr>
            <w:tcW w:w="2267"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17B0BB6F"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8"/>
              </w:rPr>
            </w:pPr>
            <w:r w:rsidRPr="00B47353">
              <w:rPr>
                <w:rFonts w:ascii="Times New Roman" w:hAnsi="Times New Roman" w:cs="Times New Roman"/>
                <w:sz w:val="20"/>
                <w:szCs w:val="18"/>
              </w:rPr>
              <w:t>∆</w:t>
            </w:r>
            <w:r w:rsidRPr="00B47353">
              <w:rPr>
                <w:rFonts w:ascii="Times New Roman" w:hAnsi="Times New Roman" w:cs="Times New Roman"/>
                <w:i/>
                <w:iCs/>
                <w:sz w:val="20"/>
                <w:szCs w:val="18"/>
              </w:rPr>
              <w:t>E</w:t>
            </w:r>
            <w:r w:rsidRPr="00B47353">
              <w:rPr>
                <w:rFonts w:ascii="Times New Roman" w:hAnsi="Times New Roman" w:cs="Times New Roman"/>
                <w:sz w:val="20"/>
                <w:szCs w:val="18"/>
                <w:vertAlign w:val="subscript"/>
              </w:rPr>
              <w:t>4</w:t>
            </w:r>
            <w:r w:rsidRPr="00B47353">
              <w:rPr>
                <w:rFonts w:ascii="Times New Roman" w:hAnsi="Times New Roman" w:cs="Times New Roman"/>
                <w:sz w:val="20"/>
                <w:szCs w:val="18"/>
              </w:rPr>
              <w:t xml:space="preserve"> = </w:t>
            </w:r>
            <w:r w:rsidRPr="00B47353">
              <w:rPr>
                <w:rFonts w:ascii="Times New Roman" w:hAnsi="Times New Roman" w:cs="Times New Roman"/>
                <w:i/>
                <w:iCs/>
                <w:sz w:val="20"/>
                <w:szCs w:val="18"/>
              </w:rPr>
              <w:t>A</w:t>
            </w:r>
            <w:r w:rsidRPr="00B47353">
              <w:rPr>
                <w:rFonts w:ascii="Times New Roman" w:hAnsi="Times New Roman" w:cs="Times New Roman"/>
                <w:i/>
                <w:iCs/>
                <w:sz w:val="20"/>
                <w:szCs w:val="18"/>
                <w:vertAlign w:val="subscript"/>
              </w:rPr>
              <w:t>i</w:t>
            </w:r>
            <w:r w:rsidRPr="00B47353">
              <w:rPr>
                <w:rFonts w:ascii="Times New Roman" w:hAnsi="Times New Roman" w:cs="Times New Roman"/>
                <w:sz w:val="20"/>
                <w:szCs w:val="18"/>
              </w:rPr>
              <w:t xml:space="preserve"> × 0,46</w:t>
            </w:r>
          </w:p>
        </w:tc>
        <w:tc>
          <w:tcPr>
            <w:tcW w:w="5667"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7213440C" w14:textId="77777777" w:rsidR="00585F5C" w:rsidRPr="00B47353" w:rsidRDefault="00585F5C" w:rsidP="00585F5C">
            <w:pPr>
              <w:suppressAutoHyphens/>
              <w:autoSpaceDE w:val="0"/>
              <w:autoSpaceDN w:val="0"/>
              <w:adjustRightInd w:val="0"/>
              <w:spacing w:after="0" w:line="240" w:lineRule="auto"/>
              <w:textAlignment w:val="center"/>
              <w:rPr>
                <w:rFonts w:ascii="Times New Roman" w:hAnsi="Times New Roman" w:cs="Times New Roman"/>
                <w:sz w:val="20"/>
                <w:szCs w:val="18"/>
              </w:rPr>
            </w:pPr>
            <w:r w:rsidRPr="00B47353">
              <w:rPr>
                <w:rFonts w:ascii="Times New Roman" w:hAnsi="Times New Roman" w:cs="Times New Roman"/>
                <w:sz w:val="20"/>
                <w:szCs w:val="18"/>
              </w:rPr>
              <w:t>padlásfödém</w:t>
            </w:r>
          </w:p>
        </w:tc>
      </w:tr>
      <w:tr w:rsidR="00585F5C" w:rsidRPr="00B47353" w14:paraId="1C1095BA" w14:textId="77777777" w:rsidTr="00201515">
        <w:trPr>
          <w:trHeight w:val="113"/>
        </w:trPr>
        <w:tc>
          <w:tcPr>
            <w:tcW w:w="735"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27F3C7ED"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8"/>
              </w:rPr>
            </w:pPr>
            <w:r w:rsidRPr="00B47353">
              <w:rPr>
                <w:rFonts w:ascii="Times New Roman" w:hAnsi="Times New Roman" w:cs="Times New Roman"/>
                <w:sz w:val="20"/>
                <w:szCs w:val="18"/>
              </w:rPr>
              <w:t>5</w:t>
            </w:r>
          </w:p>
        </w:tc>
        <w:tc>
          <w:tcPr>
            <w:tcW w:w="2267"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4E499993"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8"/>
              </w:rPr>
            </w:pPr>
            <w:r w:rsidRPr="00B47353">
              <w:rPr>
                <w:rFonts w:ascii="Times New Roman" w:hAnsi="Times New Roman" w:cs="Times New Roman"/>
                <w:sz w:val="20"/>
                <w:szCs w:val="18"/>
              </w:rPr>
              <w:t>∆</w:t>
            </w:r>
            <w:r w:rsidRPr="00B47353">
              <w:rPr>
                <w:rFonts w:ascii="Times New Roman" w:hAnsi="Times New Roman" w:cs="Times New Roman"/>
                <w:i/>
                <w:iCs/>
                <w:sz w:val="20"/>
                <w:szCs w:val="18"/>
              </w:rPr>
              <w:t>E</w:t>
            </w:r>
            <w:r w:rsidRPr="00B47353">
              <w:rPr>
                <w:rFonts w:ascii="Times New Roman" w:hAnsi="Times New Roman" w:cs="Times New Roman"/>
                <w:sz w:val="20"/>
                <w:szCs w:val="18"/>
                <w:vertAlign w:val="subscript"/>
              </w:rPr>
              <w:t>5</w:t>
            </w:r>
            <w:r w:rsidRPr="00B47353">
              <w:rPr>
                <w:rFonts w:ascii="Times New Roman" w:hAnsi="Times New Roman" w:cs="Times New Roman"/>
                <w:sz w:val="20"/>
                <w:szCs w:val="18"/>
              </w:rPr>
              <w:t xml:space="preserve"> = </w:t>
            </w:r>
            <w:r w:rsidRPr="00B47353">
              <w:rPr>
                <w:rFonts w:ascii="Times New Roman" w:hAnsi="Times New Roman" w:cs="Times New Roman"/>
                <w:i/>
                <w:iCs/>
                <w:sz w:val="20"/>
                <w:szCs w:val="18"/>
              </w:rPr>
              <w:t>A</w:t>
            </w:r>
            <w:r w:rsidRPr="00B47353">
              <w:rPr>
                <w:rFonts w:ascii="Times New Roman" w:hAnsi="Times New Roman" w:cs="Times New Roman"/>
                <w:i/>
                <w:iCs/>
                <w:sz w:val="20"/>
                <w:szCs w:val="18"/>
                <w:vertAlign w:val="subscript"/>
              </w:rPr>
              <w:t>i</w:t>
            </w:r>
            <w:r w:rsidRPr="00B47353">
              <w:rPr>
                <w:rFonts w:ascii="Times New Roman" w:hAnsi="Times New Roman" w:cs="Times New Roman"/>
                <w:sz w:val="20"/>
                <w:szCs w:val="18"/>
              </w:rPr>
              <w:t xml:space="preserve"> × 0,6</w:t>
            </w:r>
          </w:p>
        </w:tc>
        <w:tc>
          <w:tcPr>
            <w:tcW w:w="5667"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78958B5E" w14:textId="77777777" w:rsidR="00585F5C" w:rsidRPr="00B47353" w:rsidRDefault="00585F5C" w:rsidP="00585F5C">
            <w:pPr>
              <w:suppressAutoHyphens/>
              <w:autoSpaceDE w:val="0"/>
              <w:autoSpaceDN w:val="0"/>
              <w:adjustRightInd w:val="0"/>
              <w:spacing w:after="0" w:line="240" w:lineRule="auto"/>
              <w:textAlignment w:val="center"/>
              <w:rPr>
                <w:rFonts w:ascii="Times New Roman" w:hAnsi="Times New Roman" w:cs="Times New Roman"/>
                <w:sz w:val="20"/>
                <w:szCs w:val="18"/>
              </w:rPr>
            </w:pPr>
            <w:r w:rsidRPr="00B47353">
              <w:rPr>
                <w:rFonts w:ascii="Times New Roman" w:hAnsi="Times New Roman" w:cs="Times New Roman"/>
                <w:sz w:val="20"/>
                <w:szCs w:val="18"/>
              </w:rPr>
              <w:t>lapostető (vasbeton)</w:t>
            </w:r>
          </w:p>
        </w:tc>
      </w:tr>
    </w:tbl>
    <w:p w14:paraId="434CCEB8" w14:textId="77777777" w:rsidR="00585F5C" w:rsidRPr="00B47353" w:rsidRDefault="00585F5C" w:rsidP="00585F5C">
      <w:pPr>
        <w:suppressAutoHyphens/>
        <w:autoSpaceDE w:val="0"/>
        <w:autoSpaceDN w:val="0"/>
        <w:adjustRightInd w:val="0"/>
        <w:spacing w:after="0" w:line="240" w:lineRule="auto"/>
        <w:textAlignment w:val="center"/>
        <w:rPr>
          <w:rFonts w:ascii="Times New Roman" w:hAnsi="Times New Roman" w:cs="Times New Roman"/>
          <w:sz w:val="20"/>
          <w:szCs w:val="12"/>
        </w:rPr>
      </w:pPr>
    </w:p>
    <w:p w14:paraId="74A353FD"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ahol:</w:t>
      </w:r>
    </w:p>
    <w:p w14:paraId="38DA075F"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w:t>
      </w:r>
      <w:r w:rsidRPr="00B47353">
        <w:rPr>
          <w:rFonts w:ascii="Times New Roman" w:hAnsi="Times New Roman" w:cs="Times New Roman"/>
          <w:i/>
          <w:iCs/>
          <w:sz w:val="20"/>
          <w:szCs w:val="18"/>
        </w:rPr>
        <w:t>E</w:t>
      </w:r>
      <w:r w:rsidRPr="00B47353">
        <w:rPr>
          <w:rFonts w:ascii="Times New Roman" w:hAnsi="Times New Roman" w:cs="Times New Roman"/>
          <w:sz w:val="20"/>
          <w:szCs w:val="18"/>
        </w:rPr>
        <w:t xml:space="preserve">: végső energiamegtakarítás mértéke </w:t>
      </w:r>
      <w:r w:rsidRPr="00B47353">
        <w:rPr>
          <w:rFonts w:ascii="Times New Roman" w:hAnsi="Times New Roman" w:cs="Times New Roman"/>
          <w:i/>
          <w:iCs/>
          <w:sz w:val="20"/>
          <w:szCs w:val="18"/>
        </w:rPr>
        <w:t>[GJ]</w:t>
      </w:r>
    </w:p>
    <w:p w14:paraId="1F59A819"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i/>
          <w:iCs/>
          <w:sz w:val="20"/>
          <w:szCs w:val="18"/>
        </w:rPr>
        <w:t>A</w:t>
      </w:r>
      <w:r w:rsidRPr="00B47353">
        <w:rPr>
          <w:rFonts w:ascii="Times New Roman" w:hAnsi="Times New Roman" w:cs="Times New Roman"/>
          <w:i/>
          <w:iCs/>
          <w:sz w:val="20"/>
          <w:szCs w:val="18"/>
          <w:vertAlign w:val="subscript"/>
        </w:rPr>
        <w:t>Ni</w:t>
      </w:r>
      <w:r w:rsidRPr="00B47353">
        <w:rPr>
          <w:rFonts w:ascii="Times New Roman" w:hAnsi="Times New Roman" w:cs="Times New Roman"/>
          <w:sz w:val="20"/>
          <w:szCs w:val="18"/>
        </w:rPr>
        <w:t xml:space="preserve">: az utólagosan szigetelt szerkezet felülete </w:t>
      </w:r>
      <w:r w:rsidRPr="00B47353">
        <w:rPr>
          <w:rFonts w:ascii="Times New Roman" w:hAnsi="Times New Roman" w:cs="Times New Roman"/>
          <w:i/>
          <w:iCs/>
          <w:sz w:val="20"/>
          <w:szCs w:val="18"/>
        </w:rPr>
        <w:t>[m</w:t>
      </w:r>
      <w:r w:rsidRPr="00B47353">
        <w:rPr>
          <w:rFonts w:ascii="Times New Roman" w:hAnsi="Times New Roman" w:cs="Times New Roman"/>
          <w:i/>
          <w:iCs/>
          <w:sz w:val="20"/>
          <w:szCs w:val="18"/>
          <w:vertAlign w:val="superscript"/>
        </w:rPr>
        <w:t>2</w:t>
      </w:r>
      <w:r w:rsidRPr="00B47353">
        <w:rPr>
          <w:rFonts w:ascii="Times New Roman" w:hAnsi="Times New Roman" w:cs="Times New Roman"/>
          <w:i/>
          <w:iCs/>
          <w:sz w:val="20"/>
          <w:szCs w:val="18"/>
        </w:rPr>
        <w:t>]</w:t>
      </w:r>
    </w:p>
    <w:p w14:paraId="4D927FBA"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1.4.8. Az elszámolható végsőenergia-megtakarítás igazolásához szükséges dokumentumok</w:t>
      </w:r>
    </w:p>
    <w:p w14:paraId="083AE8B4" w14:textId="77777777" w:rsidR="00585F5C"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a) Fotó dokumentáció</w:t>
      </w:r>
    </w:p>
    <w:p w14:paraId="56FDE49B" w14:textId="77777777" w:rsidR="00585F5C"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a. az épületet beazonosítani képes utcafronti látképéről,</w:t>
      </w:r>
    </w:p>
    <w:p w14:paraId="6537F662" w14:textId="77777777" w:rsidR="00585F5C"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b. külső épületburok szigetelés esetén az épület fejlesztés előtti és fejlesztést követő állapotáról, épületszerkezet típusonként az épület beruházással érintett eredeti szerkezeteiről és a beépített szigetelőanyagok vastagságáról,</w:t>
      </w:r>
    </w:p>
    <w:p w14:paraId="2EF3F2E8"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c. padlásfödém szigetelés esetén külön fotó szükséges a szigeteletlen és a szigetelt padlásfödém teljes területének bemutatására, továbbá a megvalósult szakszerű rétegrendnek igazolására (alulról felfelé haladva különösen a párazáró fólia elhelyezését, a szálas szigetelés vastagságát és elhelyezését, a porosodás gátló páraáteresztő fólia elhelyezését, vagy ennek elhagyása esetén a gyárilag erre a célra a szigetelésbe épített réteget bemutató fotókra).</w:t>
      </w:r>
    </w:p>
    <w:p w14:paraId="5FBA77EF"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b) Kiinduló állapot rögzítése tervek alapján vagy a kivitelező nyilatkozatával.</w:t>
      </w:r>
    </w:p>
    <w:p w14:paraId="0F97FADF"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c) Az építési tevékenység szakszerű elvégzését igazoló kivitelezői nyilatkozat, amely tartalmazza a korszerűsítésben felhasznált, beépített anyagok és szerkezetek műszaki és energetikai jellemzőit vagy a gyártói teljesítmény nyilatkozatokat, valamint az érintett épület (lakásegység) egyértelmű beazonosítását.</w:t>
      </w:r>
    </w:p>
    <w:p w14:paraId="547FF7D4"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d) A beruházás befejezését igazoló dokumentum (különösen: építési napló, felelős műszaki vezető nyilatkozata, kivitelezői számla).</w:t>
      </w:r>
    </w:p>
    <w:p w14:paraId="4C537068" w14:textId="77777777" w:rsidR="00585F5C"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e) Padlásfödém szigetelés esetén</w:t>
      </w:r>
    </w:p>
    <w:p w14:paraId="380C314E" w14:textId="77777777" w:rsidR="00585F5C"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a. Beruházói (végfelhasználói) nyilatkozat az ingatlan fűtési módjáról (egyedi helyiségfűtők, gázkonvektorok, központi fűtési rendszer, egyéb), továbbá arról, hogy az épület padlásfödém alatti fűtött és a födémszigetelt terület aránya nagyobb, mint 90%.</w:t>
      </w:r>
    </w:p>
    <w:p w14:paraId="46CC49EA"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b. A hitelesítő szervezet beszámolója a helyszíni ellenőrzése eredményéről az érintett egyedi ingatlanok felsorolásával.</w:t>
      </w:r>
    </w:p>
    <w:p w14:paraId="263C61E9"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f) A kivitelező iparkamarai regisztrációs száma.</w:t>
      </w:r>
    </w:p>
    <w:p w14:paraId="7585018E"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 xml:space="preserve">g) A végsőenergia-megtakarítás </w:t>
      </w:r>
      <w:r w:rsidRPr="00B47353">
        <w:rPr>
          <w:rFonts w:ascii="Times New Roman" w:hAnsi="Times New Roman" w:cs="Times New Roman"/>
          <w:i/>
          <w:iCs/>
          <w:sz w:val="20"/>
          <w:szCs w:val="18"/>
        </w:rPr>
        <w:t>[GJ/év]</w:t>
      </w:r>
      <w:r w:rsidRPr="00B47353">
        <w:rPr>
          <w:rFonts w:ascii="Times New Roman" w:hAnsi="Times New Roman" w:cs="Times New Roman"/>
          <w:sz w:val="20"/>
          <w:szCs w:val="18"/>
        </w:rPr>
        <w:t xml:space="preserve"> számítása.</w:t>
      </w:r>
    </w:p>
    <w:p w14:paraId="0A99A398"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1.4.9. Az intézkedés elszámolhatóságának kezdete</w:t>
      </w:r>
    </w:p>
    <w:p w14:paraId="4325AD33"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Az intézkedés elszámolhatóságának kezdete a beruházás befejezése.”</w:t>
      </w:r>
    </w:p>
    <w:p w14:paraId="17725319" w14:textId="77777777" w:rsidR="00585F5C" w:rsidRPr="00B47353" w:rsidRDefault="00585F5C" w:rsidP="00585F5C">
      <w:pPr>
        <w:tabs>
          <w:tab w:val="right" w:pos="850"/>
          <w:tab w:val="left" w:pos="964"/>
        </w:tabs>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2.</w:t>
      </w:r>
      <w:r w:rsidRPr="00B47353">
        <w:rPr>
          <w:rFonts w:ascii="Times New Roman" w:hAnsi="Times New Roman" w:cs="Times New Roman"/>
          <w:sz w:val="20"/>
          <w:szCs w:val="18"/>
        </w:rPr>
        <w:tab/>
        <w:t>Az R. 1. melléklet IV. rész 2.3. pontja helyébe a következő rendelkezés lép:</w:t>
      </w:r>
    </w:p>
    <w:p w14:paraId="17EAAA32"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„2.3. Intermodális közlekedés igénybevétele</w:t>
      </w:r>
    </w:p>
    <w:p w14:paraId="208FF7EA"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2.3.1. Az intézkedés leírása</w:t>
      </w:r>
    </w:p>
    <w:p w14:paraId="4E2684E1"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Az intézkedés az 5/1990. (IV. 12.) KöHÉM rendelet szerinti N3 kategóriájú gépjárművekre, valamint az általuk vontatott pótkocsikra vonatkozik. Az intézkedést azok az üzleti céllal gépjárműparkot, gépjárműflottát üzemeltető Magyarországon székhellyel rendelkező társaságok hajthatják végre, amelyek teherszállítási tevékenységük során közúti fuvarozás helyett részben tehervasút szállítási módozatot vesznek igénybe, bármely tehervasút szállítási szolgáltatást végző gazdasági társaság teljesítésével. A közúti teherszállításnál energiahatékonyabb intermodális közlekedési típus a tehervasút, melynek segítségével szállítási végsőenergia-megtakarítás érhető el.</w:t>
      </w:r>
    </w:p>
    <w:p w14:paraId="36C48068"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2.3.2. A kiindulási állapot és az intézkedést követő állapot rögzítése</w:t>
      </w:r>
    </w:p>
    <w:p w14:paraId="2B7EF95D"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Az energiamegtakarítás kiszámításához szükséges alap adatokat a 2.3.2.1. táblázat tartalmazza. A táblázat adatait minden egyes szállítmányra, minden egyes alkalommal meg kell határozni.</w:t>
      </w:r>
    </w:p>
    <w:p w14:paraId="4131279F"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lastRenderedPageBreak/>
        <w:t>2.3.2.1. táblázat A kiindulási állapot és az intézkedést követő állapot alapadatai az egyes szállítmányokra vonatkozóan</w:t>
      </w:r>
    </w:p>
    <w:tbl>
      <w:tblPr>
        <w:tblW w:w="0" w:type="auto"/>
        <w:tblInd w:w="-3" w:type="dxa"/>
        <w:tblLayout w:type="fixed"/>
        <w:tblCellMar>
          <w:left w:w="0" w:type="dxa"/>
          <w:right w:w="0" w:type="dxa"/>
        </w:tblCellMar>
        <w:tblLook w:val="0000" w:firstRow="0" w:lastRow="0" w:firstColumn="0" w:lastColumn="0" w:noHBand="0" w:noVBand="0"/>
      </w:tblPr>
      <w:tblGrid>
        <w:gridCol w:w="735"/>
        <w:gridCol w:w="4818"/>
        <w:gridCol w:w="1558"/>
        <w:gridCol w:w="1558"/>
      </w:tblGrid>
      <w:tr w:rsidR="00585F5C" w:rsidRPr="00B47353" w14:paraId="401112B9" w14:textId="77777777" w:rsidTr="00201515">
        <w:trPr>
          <w:trHeight w:val="113"/>
        </w:trPr>
        <w:tc>
          <w:tcPr>
            <w:tcW w:w="735"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15C9D981"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4"/>
              </w:rPr>
            </w:pPr>
            <w:r w:rsidRPr="00B47353">
              <w:rPr>
                <w:rFonts w:ascii="Times New Roman" w:hAnsi="Times New Roman" w:cs="Times New Roman"/>
                <w:sz w:val="20"/>
                <w:szCs w:val="14"/>
              </w:rPr>
              <w:t>A</w:t>
            </w:r>
          </w:p>
        </w:tc>
        <w:tc>
          <w:tcPr>
            <w:tcW w:w="4818"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7BA9DC10"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4"/>
              </w:rPr>
            </w:pPr>
            <w:r w:rsidRPr="00B47353">
              <w:rPr>
                <w:rFonts w:ascii="Times New Roman" w:hAnsi="Times New Roman" w:cs="Times New Roman"/>
                <w:sz w:val="20"/>
                <w:szCs w:val="14"/>
              </w:rPr>
              <w:t>B</w:t>
            </w:r>
          </w:p>
        </w:tc>
        <w:tc>
          <w:tcPr>
            <w:tcW w:w="1558"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3E6C467A"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4"/>
              </w:rPr>
            </w:pPr>
            <w:r w:rsidRPr="00B47353">
              <w:rPr>
                <w:rFonts w:ascii="Times New Roman" w:hAnsi="Times New Roman" w:cs="Times New Roman"/>
                <w:sz w:val="20"/>
                <w:szCs w:val="14"/>
              </w:rPr>
              <w:t>C</w:t>
            </w:r>
          </w:p>
        </w:tc>
        <w:tc>
          <w:tcPr>
            <w:tcW w:w="1558"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5AD8891D"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4"/>
              </w:rPr>
            </w:pPr>
            <w:r w:rsidRPr="00B47353">
              <w:rPr>
                <w:rFonts w:ascii="Times New Roman" w:hAnsi="Times New Roman" w:cs="Times New Roman"/>
                <w:sz w:val="20"/>
                <w:szCs w:val="14"/>
              </w:rPr>
              <w:t>D</w:t>
            </w:r>
          </w:p>
        </w:tc>
      </w:tr>
      <w:tr w:rsidR="00585F5C" w:rsidRPr="00B47353" w14:paraId="5FC8DDBB" w14:textId="77777777" w:rsidTr="00201515">
        <w:trPr>
          <w:trHeight w:val="113"/>
        </w:trPr>
        <w:tc>
          <w:tcPr>
            <w:tcW w:w="735"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6A082057"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4"/>
              </w:rPr>
            </w:pPr>
            <w:r w:rsidRPr="00B47353">
              <w:rPr>
                <w:rFonts w:ascii="Times New Roman" w:hAnsi="Times New Roman" w:cs="Times New Roman"/>
                <w:sz w:val="20"/>
                <w:szCs w:val="14"/>
              </w:rPr>
              <w:t>Sorok száma</w:t>
            </w:r>
          </w:p>
        </w:tc>
        <w:tc>
          <w:tcPr>
            <w:tcW w:w="4818"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54CDA157"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4"/>
              </w:rPr>
            </w:pPr>
            <w:r w:rsidRPr="00B47353">
              <w:rPr>
                <w:rFonts w:ascii="Times New Roman" w:hAnsi="Times New Roman" w:cs="Times New Roman"/>
                <w:sz w:val="20"/>
                <w:szCs w:val="14"/>
              </w:rPr>
              <w:t>Műszaki paraméter</w:t>
            </w:r>
          </w:p>
        </w:tc>
        <w:tc>
          <w:tcPr>
            <w:tcW w:w="1558"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6FB36A7B"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4"/>
              </w:rPr>
            </w:pPr>
            <w:r w:rsidRPr="00B47353">
              <w:rPr>
                <w:rFonts w:ascii="Times New Roman" w:hAnsi="Times New Roman" w:cs="Times New Roman"/>
                <w:sz w:val="20"/>
                <w:szCs w:val="14"/>
              </w:rPr>
              <w:t>Régi szállítási mód</w:t>
            </w:r>
          </w:p>
        </w:tc>
        <w:tc>
          <w:tcPr>
            <w:tcW w:w="1558"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5108F5C1"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4"/>
              </w:rPr>
            </w:pPr>
            <w:r w:rsidRPr="00B47353">
              <w:rPr>
                <w:rFonts w:ascii="Times New Roman" w:hAnsi="Times New Roman" w:cs="Times New Roman"/>
                <w:sz w:val="20"/>
                <w:szCs w:val="14"/>
              </w:rPr>
              <w:t>Új szállítási mód</w:t>
            </w:r>
          </w:p>
        </w:tc>
      </w:tr>
      <w:tr w:rsidR="00585F5C" w:rsidRPr="00B47353" w14:paraId="32CAA814" w14:textId="77777777" w:rsidTr="00201515">
        <w:trPr>
          <w:trHeight w:val="113"/>
        </w:trPr>
        <w:tc>
          <w:tcPr>
            <w:tcW w:w="735"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37EF2900"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8"/>
              </w:rPr>
            </w:pPr>
            <w:r w:rsidRPr="00B47353">
              <w:rPr>
                <w:rFonts w:ascii="Times New Roman" w:hAnsi="Times New Roman" w:cs="Times New Roman"/>
                <w:sz w:val="20"/>
                <w:szCs w:val="18"/>
              </w:rPr>
              <w:t>1.</w:t>
            </w:r>
          </w:p>
        </w:tc>
        <w:tc>
          <w:tcPr>
            <w:tcW w:w="4818"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6D04A536" w14:textId="77777777" w:rsidR="00585F5C" w:rsidRPr="00B47353" w:rsidRDefault="00585F5C" w:rsidP="00585F5C">
            <w:pPr>
              <w:suppressAutoHyphens/>
              <w:autoSpaceDE w:val="0"/>
              <w:autoSpaceDN w:val="0"/>
              <w:adjustRightInd w:val="0"/>
              <w:spacing w:after="0" w:line="240" w:lineRule="auto"/>
              <w:textAlignment w:val="center"/>
              <w:rPr>
                <w:rFonts w:ascii="Times New Roman" w:hAnsi="Times New Roman" w:cs="Times New Roman"/>
                <w:sz w:val="20"/>
                <w:szCs w:val="18"/>
              </w:rPr>
            </w:pPr>
            <w:r w:rsidRPr="00B47353">
              <w:rPr>
                <w:rFonts w:ascii="Times New Roman" w:hAnsi="Times New Roman" w:cs="Times New Roman"/>
                <w:sz w:val="20"/>
                <w:szCs w:val="18"/>
              </w:rPr>
              <w:t>A közúti szállítást végző gépjármű forgalmi rendszáma</w:t>
            </w:r>
          </w:p>
        </w:tc>
        <w:tc>
          <w:tcPr>
            <w:tcW w:w="3116" w:type="dxa"/>
            <w:gridSpan w:val="2"/>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6642FC01"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8"/>
              </w:rPr>
            </w:pPr>
            <w:r w:rsidRPr="00B47353">
              <w:rPr>
                <w:rFonts w:ascii="Times New Roman" w:hAnsi="Times New Roman" w:cs="Times New Roman"/>
                <w:sz w:val="20"/>
                <w:szCs w:val="18"/>
              </w:rPr>
              <w:t>szükséges</w:t>
            </w:r>
          </w:p>
        </w:tc>
      </w:tr>
      <w:tr w:rsidR="00585F5C" w:rsidRPr="00B47353" w14:paraId="3852A66B" w14:textId="77777777" w:rsidTr="00201515">
        <w:trPr>
          <w:trHeight w:val="113"/>
        </w:trPr>
        <w:tc>
          <w:tcPr>
            <w:tcW w:w="735"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239EC875"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8"/>
              </w:rPr>
            </w:pPr>
            <w:r w:rsidRPr="00B47353">
              <w:rPr>
                <w:rFonts w:ascii="Times New Roman" w:hAnsi="Times New Roman" w:cs="Times New Roman"/>
                <w:sz w:val="20"/>
                <w:szCs w:val="18"/>
              </w:rPr>
              <w:t>2.</w:t>
            </w:r>
          </w:p>
        </w:tc>
        <w:tc>
          <w:tcPr>
            <w:tcW w:w="4818"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1D7CE508" w14:textId="77777777" w:rsidR="00585F5C" w:rsidRPr="00B47353" w:rsidRDefault="00585F5C" w:rsidP="00585F5C">
            <w:pPr>
              <w:suppressAutoHyphens/>
              <w:autoSpaceDE w:val="0"/>
              <w:autoSpaceDN w:val="0"/>
              <w:adjustRightInd w:val="0"/>
              <w:spacing w:after="0" w:line="240" w:lineRule="auto"/>
              <w:textAlignment w:val="center"/>
              <w:rPr>
                <w:rFonts w:ascii="Times New Roman" w:hAnsi="Times New Roman" w:cs="Times New Roman"/>
                <w:sz w:val="20"/>
                <w:szCs w:val="18"/>
              </w:rPr>
            </w:pPr>
            <w:r w:rsidRPr="00B47353">
              <w:rPr>
                <w:rFonts w:ascii="Times New Roman" w:hAnsi="Times New Roman" w:cs="Times New Roman"/>
                <w:sz w:val="20"/>
                <w:szCs w:val="18"/>
              </w:rPr>
              <w:t>Pótkocsi forgalmi rendszáma(</w:t>
            </w:r>
            <w:r w:rsidRPr="00B47353">
              <w:rPr>
                <w:rFonts w:ascii="Times New Roman" w:hAnsi="Times New Roman" w:cs="Times New Roman"/>
                <w:sz w:val="20"/>
                <w:szCs w:val="18"/>
                <w:vertAlign w:val="superscript"/>
              </w:rPr>
              <w:t>1</w:t>
            </w:r>
            <w:r w:rsidRPr="00B47353">
              <w:rPr>
                <w:rFonts w:ascii="Times New Roman" w:hAnsi="Times New Roman" w:cs="Times New Roman"/>
                <w:sz w:val="20"/>
                <w:szCs w:val="18"/>
              </w:rPr>
              <w:t>)</w:t>
            </w:r>
          </w:p>
        </w:tc>
        <w:tc>
          <w:tcPr>
            <w:tcW w:w="3116" w:type="dxa"/>
            <w:gridSpan w:val="2"/>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5B6B240B"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8"/>
              </w:rPr>
            </w:pPr>
            <w:r w:rsidRPr="00B47353">
              <w:rPr>
                <w:rFonts w:ascii="Times New Roman" w:hAnsi="Times New Roman" w:cs="Times New Roman"/>
                <w:sz w:val="20"/>
                <w:szCs w:val="18"/>
              </w:rPr>
              <w:t>szükséges</w:t>
            </w:r>
          </w:p>
        </w:tc>
      </w:tr>
      <w:tr w:rsidR="00585F5C" w:rsidRPr="00B47353" w14:paraId="36CABDEC" w14:textId="77777777" w:rsidTr="00201515">
        <w:trPr>
          <w:trHeight w:val="113"/>
        </w:trPr>
        <w:tc>
          <w:tcPr>
            <w:tcW w:w="735"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55C72A57"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8"/>
              </w:rPr>
            </w:pPr>
            <w:r w:rsidRPr="00B47353">
              <w:rPr>
                <w:rFonts w:ascii="Times New Roman" w:hAnsi="Times New Roman" w:cs="Times New Roman"/>
                <w:sz w:val="20"/>
                <w:szCs w:val="18"/>
              </w:rPr>
              <w:t>3.</w:t>
            </w:r>
          </w:p>
        </w:tc>
        <w:tc>
          <w:tcPr>
            <w:tcW w:w="4818"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54B032C8" w14:textId="77777777" w:rsidR="00585F5C" w:rsidRPr="00B47353" w:rsidRDefault="00585F5C" w:rsidP="00585F5C">
            <w:pPr>
              <w:suppressAutoHyphens/>
              <w:autoSpaceDE w:val="0"/>
              <w:autoSpaceDN w:val="0"/>
              <w:adjustRightInd w:val="0"/>
              <w:spacing w:after="0" w:line="240" w:lineRule="auto"/>
              <w:textAlignment w:val="center"/>
              <w:rPr>
                <w:rFonts w:ascii="Times New Roman" w:hAnsi="Times New Roman" w:cs="Times New Roman"/>
                <w:sz w:val="20"/>
                <w:szCs w:val="18"/>
              </w:rPr>
            </w:pPr>
            <w:r w:rsidRPr="00B47353">
              <w:rPr>
                <w:rFonts w:ascii="Times New Roman" w:hAnsi="Times New Roman" w:cs="Times New Roman"/>
                <w:sz w:val="20"/>
                <w:szCs w:val="18"/>
              </w:rPr>
              <w:t xml:space="preserve">Pótkocsi saját tömege </w:t>
            </w:r>
            <w:r w:rsidRPr="00B47353">
              <w:rPr>
                <w:rFonts w:ascii="Times New Roman" w:hAnsi="Times New Roman" w:cs="Times New Roman"/>
                <w:i/>
                <w:iCs/>
                <w:sz w:val="20"/>
                <w:szCs w:val="18"/>
              </w:rPr>
              <w:t>[tonna]</w:t>
            </w:r>
            <w:r w:rsidRPr="00B47353">
              <w:rPr>
                <w:rFonts w:ascii="Times New Roman" w:hAnsi="Times New Roman" w:cs="Times New Roman"/>
                <w:sz w:val="20"/>
                <w:szCs w:val="18"/>
              </w:rPr>
              <w:t>(</w:t>
            </w:r>
            <w:r w:rsidRPr="00B47353">
              <w:rPr>
                <w:rFonts w:ascii="Times New Roman" w:hAnsi="Times New Roman" w:cs="Times New Roman"/>
                <w:sz w:val="20"/>
                <w:szCs w:val="18"/>
                <w:vertAlign w:val="superscript"/>
              </w:rPr>
              <w:t>1</w:t>
            </w:r>
            <w:r w:rsidRPr="00B47353">
              <w:rPr>
                <w:rFonts w:ascii="Times New Roman" w:hAnsi="Times New Roman" w:cs="Times New Roman"/>
                <w:sz w:val="20"/>
                <w:szCs w:val="18"/>
              </w:rPr>
              <w:t>)</w:t>
            </w:r>
          </w:p>
        </w:tc>
        <w:tc>
          <w:tcPr>
            <w:tcW w:w="3116" w:type="dxa"/>
            <w:gridSpan w:val="2"/>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06990112"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8"/>
              </w:rPr>
            </w:pPr>
            <w:r w:rsidRPr="00B47353">
              <w:rPr>
                <w:rFonts w:ascii="Times New Roman" w:hAnsi="Times New Roman" w:cs="Times New Roman"/>
                <w:sz w:val="20"/>
                <w:szCs w:val="18"/>
              </w:rPr>
              <w:t>szükséges</w:t>
            </w:r>
          </w:p>
        </w:tc>
      </w:tr>
      <w:tr w:rsidR="00585F5C" w:rsidRPr="00B47353" w14:paraId="701AEBDE" w14:textId="77777777" w:rsidTr="00201515">
        <w:trPr>
          <w:trHeight w:val="113"/>
        </w:trPr>
        <w:tc>
          <w:tcPr>
            <w:tcW w:w="735"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1AE4CAEC"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8"/>
              </w:rPr>
            </w:pPr>
            <w:r w:rsidRPr="00B47353">
              <w:rPr>
                <w:rFonts w:ascii="Times New Roman" w:hAnsi="Times New Roman" w:cs="Times New Roman"/>
                <w:sz w:val="20"/>
                <w:szCs w:val="18"/>
              </w:rPr>
              <w:t>4.</w:t>
            </w:r>
          </w:p>
        </w:tc>
        <w:tc>
          <w:tcPr>
            <w:tcW w:w="4818"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56497E73" w14:textId="77777777" w:rsidR="00585F5C" w:rsidRPr="00B47353" w:rsidRDefault="00585F5C" w:rsidP="00585F5C">
            <w:pPr>
              <w:suppressAutoHyphens/>
              <w:autoSpaceDE w:val="0"/>
              <w:autoSpaceDN w:val="0"/>
              <w:adjustRightInd w:val="0"/>
              <w:spacing w:after="0" w:line="240" w:lineRule="auto"/>
              <w:textAlignment w:val="center"/>
              <w:rPr>
                <w:rFonts w:ascii="Times New Roman" w:hAnsi="Times New Roman" w:cs="Times New Roman"/>
                <w:sz w:val="20"/>
                <w:szCs w:val="18"/>
              </w:rPr>
            </w:pPr>
            <w:r w:rsidRPr="00B47353">
              <w:rPr>
                <w:rFonts w:ascii="Times New Roman" w:hAnsi="Times New Roman" w:cs="Times New Roman"/>
                <w:sz w:val="20"/>
                <w:szCs w:val="18"/>
              </w:rPr>
              <w:t xml:space="preserve">Szállított hasznos teher </w:t>
            </w:r>
            <w:r w:rsidRPr="00B47353">
              <w:rPr>
                <w:rFonts w:ascii="Times New Roman" w:hAnsi="Times New Roman" w:cs="Times New Roman"/>
                <w:i/>
                <w:iCs/>
                <w:sz w:val="20"/>
                <w:szCs w:val="18"/>
              </w:rPr>
              <w:t>[tonna]</w:t>
            </w:r>
          </w:p>
        </w:tc>
        <w:tc>
          <w:tcPr>
            <w:tcW w:w="3116" w:type="dxa"/>
            <w:gridSpan w:val="2"/>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5C84DCE4"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8"/>
              </w:rPr>
            </w:pPr>
            <w:r w:rsidRPr="00B47353">
              <w:rPr>
                <w:rFonts w:ascii="Times New Roman" w:hAnsi="Times New Roman" w:cs="Times New Roman"/>
                <w:sz w:val="20"/>
                <w:szCs w:val="18"/>
              </w:rPr>
              <w:t>szükséges</w:t>
            </w:r>
          </w:p>
        </w:tc>
      </w:tr>
      <w:tr w:rsidR="00585F5C" w:rsidRPr="00B47353" w14:paraId="5B4C3DB5" w14:textId="77777777" w:rsidTr="00201515">
        <w:trPr>
          <w:trHeight w:val="113"/>
        </w:trPr>
        <w:tc>
          <w:tcPr>
            <w:tcW w:w="735"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53D7AA12"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8"/>
              </w:rPr>
            </w:pPr>
            <w:r w:rsidRPr="00B47353">
              <w:rPr>
                <w:rFonts w:ascii="Times New Roman" w:hAnsi="Times New Roman" w:cs="Times New Roman"/>
                <w:sz w:val="20"/>
                <w:szCs w:val="18"/>
              </w:rPr>
              <w:t>5.</w:t>
            </w:r>
          </w:p>
        </w:tc>
        <w:tc>
          <w:tcPr>
            <w:tcW w:w="4818"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13A44949" w14:textId="77777777" w:rsidR="00585F5C" w:rsidRPr="00B47353" w:rsidRDefault="00585F5C" w:rsidP="00585F5C">
            <w:pPr>
              <w:suppressAutoHyphens/>
              <w:autoSpaceDE w:val="0"/>
              <w:autoSpaceDN w:val="0"/>
              <w:adjustRightInd w:val="0"/>
              <w:spacing w:after="0" w:line="240" w:lineRule="auto"/>
              <w:textAlignment w:val="center"/>
              <w:rPr>
                <w:rFonts w:ascii="Times New Roman" w:hAnsi="Times New Roman" w:cs="Times New Roman"/>
                <w:sz w:val="20"/>
                <w:szCs w:val="18"/>
              </w:rPr>
            </w:pPr>
            <w:r w:rsidRPr="00B47353">
              <w:rPr>
                <w:rFonts w:ascii="Times New Roman" w:hAnsi="Times New Roman" w:cs="Times New Roman"/>
                <w:sz w:val="20"/>
                <w:szCs w:val="18"/>
              </w:rPr>
              <w:t xml:space="preserve">Tisztán közúti szállítás útvonalhossza </w:t>
            </w:r>
            <w:r w:rsidRPr="00B47353">
              <w:rPr>
                <w:rFonts w:ascii="Times New Roman" w:hAnsi="Times New Roman" w:cs="Times New Roman"/>
                <w:i/>
                <w:iCs/>
                <w:sz w:val="20"/>
                <w:szCs w:val="18"/>
              </w:rPr>
              <w:t>[km]</w:t>
            </w:r>
          </w:p>
        </w:tc>
        <w:tc>
          <w:tcPr>
            <w:tcW w:w="1558"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209C39B5"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8"/>
              </w:rPr>
            </w:pPr>
            <w:r w:rsidRPr="00B47353">
              <w:rPr>
                <w:rFonts w:ascii="Times New Roman" w:hAnsi="Times New Roman" w:cs="Times New Roman"/>
                <w:sz w:val="20"/>
                <w:szCs w:val="18"/>
              </w:rPr>
              <w:t>szükséges</w:t>
            </w:r>
          </w:p>
        </w:tc>
        <w:tc>
          <w:tcPr>
            <w:tcW w:w="1558"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245E9379"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8"/>
              </w:rPr>
            </w:pPr>
            <w:r w:rsidRPr="00B47353">
              <w:rPr>
                <w:rFonts w:ascii="Times New Roman" w:hAnsi="Times New Roman" w:cs="Times New Roman"/>
                <w:sz w:val="20"/>
                <w:szCs w:val="18"/>
              </w:rPr>
              <w:t>nem szükséges</w:t>
            </w:r>
          </w:p>
        </w:tc>
      </w:tr>
      <w:tr w:rsidR="00585F5C" w:rsidRPr="00B47353" w14:paraId="708DDD2C" w14:textId="77777777" w:rsidTr="00201515">
        <w:trPr>
          <w:trHeight w:val="113"/>
        </w:trPr>
        <w:tc>
          <w:tcPr>
            <w:tcW w:w="735"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16E81DCD"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8"/>
              </w:rPr>
            </w:pPr>
            <w:r w:rsidRPr="00B47353">
              <w:rPr>
                <w:rFonts w:ascii="Times New Roman" w:hAnsi="Times New Roman" w:cs="Times New Roman"/>
                <w:sz w:val="20"/>
                <w:szCs w:val="18"/>
              </w:rPr>
              <w:t>6.</w:t>
            </w:r>
          </w:p>
        </w:tc>
        <w:tc>
          <w:tcPr>
            <w:tcW w:w="4818"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61CBFB2A" w14:textId="77777777" w:rsidR="00585F5C" w:rsidRPr="00B47353" w:rsidRDefault="00585F5C" w:rsidP="00585F5C">
            <w:pPr>
              <w:suppressAutoHyphens/>
              <w:autoSpaceDE w:val="0"/>
              <w:autoSpaceDN w:val="0"/>
              <w:adjustRightInd w:val="0"/>
              <w:spacing w:after="0" w:line="240" w:lineRule="auto"/>
              <w:textAlignment w:val="center"/>
              <w:rPr>
                <w:rFonts w:ascii="Times New Roman" w:hAnsi="Times New Roman" w:cs="Times New Roman"/>
                <w:sz w:val="20"/>
                <w:szCs w:val="18"/>
              </w:rPr>
            </w:pPr>
            <w:r w:rsidRPr="00B47353">
              <w:rPr>
                <w:rFonts w:ascii="Times New Roman" w:hAnsi="Times New Roman" w:cs="Times New Roman"/>
                <w:sz w:val="20"/>
                <w:szCs w:val="18"/>
              </w:rPr>
              <w:t xml:space="preserve">Intermodális szállítás közúti útvonalhossza </w:t>
            </w:r>
            <w:r w:rsidRPr="00B47353">
              <w:rPr>
                <w:rFonts w:ascii="Times New Roman" w:hAnsi="Times New Roman" w:cs="Times New Roman"/>
                <w:i/>
                <w:iCs/>
                <w:sz w:val="20"/>
                <w:szCs w:val="18"/>
              </w:rPr>
              <w:t>[km]</w:t>
            </w:r>
          </w:p>
        </w:tc>
        <w:tc>
          <w:tcPr>
            <w:tcW w:w="1558"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696F7537"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8"/>
              </w:rPr>
            </w:pPr>
            <w:r w:rsidRPr="00B47353">
              <w:rPr>
                <w:rFonts w:ascii="Times New Roman" w:hAnsi="Times New Roman" w:cs="Times New Roman"/>
                <w:sz w:val="20"/>
                <w:szCs w:val="18"/>
              </w:rPr>
              <w:t>nem szükséges</w:t>
            </w:r>
          </w:p>
        </w:tc>
        <w:tc>
          <w:tcPr>
            <w:tcW w:w="1558"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73F09B97"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8"/>
              </w:rPr>
            </w:pPr>
            <w:r w:rsidRPr="00B47353">
              <w:rPr>
                <w:rFonts w:ascii="Times New Roman" w:hAnsi="Times New Roman" w:cs="Times New Roman"/>
                <w:sz w:val="20"/>
                <w:szCs w:val="18"/>
              </w:rPr>
              <w:t>szükséges</w:t>
            </w:r>
          </w:p>
        </w:tc>
      </w:tr>
      <w:tr w:rsidR="00585F5C" w:rsidRPr="00B47353" w14:paraId="0B83820B" w14:textId="77777777" w:rsidTr="00201515">
        <w:trPr>
          <w:trHeight w:val="113"/>
        </w:trPr>
        <w:tc>
          <w:tcPr>
            <w:tcW w:w="735"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0D6AE1CA"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8"/>
              </w:rPr>
            </w:pPr>
            <w:r w:rsidRPr="00B47353">
              <w:rPr>
                <w:rFonts w:ascii="Times New Roman" w:hAnsi="Times New Roman" w:cs="Times New Roman"/>
                <w:sz w:val="20"/>
                <w:szCs w:val="18"/>
              </w:rPr>
              <w:t>7.</w:t>
            </w:r>
          </w:p>
        </w:tc>
        <w:tc>
          <w:tcPr>
            <w:tcW w:w="4818"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5864BF26" w14:textId="77777777" w:rsidR="00585F5C" w:rsidRPr="00B47353" w:rsidRDefault="00585F5C" w:rsidP="00585F5C">
            <w:pPr>
              <w:suppressAutoHyphens/>
              <w:autoSpaceDE w:val="0"/>
              <w:autoSpaceDN w:val="0"/>
              <w:adjustRightInd w:val="0"/>
              <w:spacing w:after="0" w:line="240" w:lineRule="auto"/>
              <w:textAlignment w:val="center"/>
              <w:rPr>
                <w:rFonts w:ascii="Times New Roman" w:hAnsi="Times New Roman" w:cs="Times New Roman"/>
                <w:sz w:val="20"/>
                <w:szCs w:val="18"/>
              </w:rPr>
            </w:pPr>
            <w:r w:rsidRPr="00B47353">
              <w:rPr>
                <w:rFonts w:ascii="Times New Roman" w:hAnsi="Times New Roman" w:cs="Times New Roman"/>
                <w:sz w:val="20"/>
                <w:szCs w:val="18"/>
              </w:rPr>
              <w:t xml:space="preserve">Intermodális szállítás vasúti útvonalhossza </w:t>
            </w:r>
            <w:r w:rsidRPr="00B47353">
              <w:rPr>
                <w:rFonts w:ascii="Times New Roman" w:hAnsi="Times New Roman" w:cs="Times New Roman"/>
                <w:i/>
                <w:iCs/>
                <w:sz w:val="20"/>
                <w:szCs w:val="18"/>
              </w:rPr>
              <w:t>[km]</w:t>
            </w:r>
          </w:p>
        </w:tc>
        <w:tc>
          <w:tcPr>
            <w:tcW w:w="1558"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2C05FA8F"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8"/>
              </w:rPr>
            </w:pPr>
            <w:r w:rsidRPr="00B47353">
              <w:rPr>
                <w:rFonts w:ascii="Times New Roman" w:hAnsi="Times New Roman" w:cs="Times New Roman"/>
                <w:sz w:val="20"/>
                <w:szCs w:val="18"/>
              </w:rPr>
              <w:t>nem szükséges</w:t>
            </w:r>
          </w:p>
        </w:tc>
        <w:tc>
          <w:tcPr>
            <w:tcW w:w="1558"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7C6A0D0C"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8"/>
              </w:rPr>
            </w:pPr>
            <w:r w:rsidRPr="00B47353">
              <w:rPr>
                <w:rFonts w:ascii="Times New Roman" w:hAnsi="Times New Roman" w:cs="Times New Roman"/>
                <w:sz w:val="20"/>
                <w:szCs w:val="18"/>
              </w:rPr>
              <w:t>szükséges</w:t>
            </w:r>
          </w:p>
        </w:tc>
      </w:tr>
      <w:tr w:rsidR="00585F5C" w:rsidRPr="00B47353" w14:paraId="33E9BEEB" w14:textId="77777777" w:rsidTr="00201515">
        <w:trPr>
          <w:trHeight w:val="113"/>
        </w:trPr>
        <w:tc>
          <w:tcPr>
            <w:tcW w:w="735"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4F209D10"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8"/>
              </w:rPr>
            </w:pPr>
            <w:r w:rsidRPr="00B47353">
              <w:rPr>
                <w:rFonts w:ascii="Times New Roman" w:hAnsi="Times New Roman" w:cs="Times New Roman"/>
                <w:sz w:val="20"/>
                <w:szCs w:val="18"/>
              </w:rPr>
              <w:t>8.</w:t>
            </w:r>
          </w:p>
        </w:tc>
        <w:tc>
          <w:tcPr>
            <w:tcW w:w="4818" w:type="dxa"/>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31364A14" w14:textId="77777777" w:rsidR="00585F5C" w:rsidRPr="00B47353" w:rsidRDefault="00585F5C" w:rsidP="00585F5C">
            <w:pPr>
              <w:suppressAutoHyphens/>
              <w:autoSpaceDE w:val="0"/>
              <w:autoSpaceDN w:val="0"/>
              <w:adjustRightInd w:val="0"/>
              <w:spacing w:after="0" w:line="240" w:lineRule="auto"/>
              <w:textAlignment w:val="center"/>
              <w:rPr>
                <w:rFonts w:ascii="Times New Roman" w:hAnsi="Times New Roman" w:cs="Times New Roman"/>
                <w:sz w:val="20"/>
                <w:szCs w:val="18"/>
              </w:rPr>
            </w:pPr>
            <w:r w:rsidRPr="00B47353">
              <w:rPr>
                <w:rFonts w:ascii="Times New Roman" w:hAnsi="Times New Roman" w:cs="Times New Roman"/>
                <w:sz w:val="20"/>
                <w:szCs w:val="18"/>
              </w:rPr>
              <w:t>Az intézkedést alkalmazó társaság által az érintett szállítási területen használt összes tehergépjárművére vonatkozó szállítási célú üzemanyag felhasználáson belül az előző évben Magyarország területén tankolt üzemanyag részaránya</w:t>
            </w:r>
          </w:p>
        </w:tc>
        <w:tc>
          <w:tcPr>
            <w:tcW w:w="3116" w:type="dxa"/>
            <w:gridSpan w:val="2"/>
            <w:tcBorders>
              <w:top w:val="single" w:sz="2" w:space="0" w:color="000000"/>
              <w:left w:val="single" w:sz="2" w:space="0" w:color="000000"/>
              <w:bottom w:val="single" w:sz="2" w:space="0" w:color="000000"/>
              <w:right w:val="single" w:sz="2" w:space="0" w:color="000000"/>
            </w:tcBorders>
            <w:tcMar>
              <w:top w:w="79" w:type="dxa"/>
              <w:left w:w="79" w:type="dxa"/>
              <w:bottom w:w="79" w:type="dxa"/>
              <w:right w:w="79" w:type="dxa"/>
            </w:tcMar>
            <w:vAlign w:val="center"/>
          </w:tcPr>
          <w:p w14:paraId="0AC49DE3" w14:textId="77777777" w:rsidR="00585F5C" w:rsidRPr="00B47353" w:rsidRDefault="00585F5C" w:rsidP="00585F5C">
            <w:pPr>
              <w:suppressAutoHyphens/>
              <w:autoSpaceDE w:val="0"/>
              <w:autoSpaceDN w:val="0"/>
              <w:adjustRightInd w:val="0"/>
              <w:spacing w:after="0" w:line="240" w:lineRule="auto"/>
              <w:jc w:val="center"/>
              <w:textAlignment w:val="center"/>
              <w:rPr>
                <w:rFonts w:ascii="Times New Roman" w:hAnsi="Times New Roman" w:cs="Times New Roman"/>
                <w:sz w:val="20"/>
                <w:szCs w:val="18"/>
              </w:rPr>
            </w:pPr>
            <w:r w:rsidRPr="00B47353">
              <w:rPr>
                <w:rFonts w:ascii="Times New Roman" w:hAnsi="Times New Roman" w:cs="Times New Roman"/>
                <w:sz w:val="20"/>
                <w:szCs w:val="18"/>
              </w:rPr>
              <w:t>szükséges</w:t>
            </w:r>
          </w:p>
        </w:tc>
      </w:tr>
    </w:tbl>
    <w:p w14:paraId="294E12B7"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w:t>
      </w:r>
      <w:r w:rsidRPr="00B47353">
        <w:rPr>
          <w:rFonts w:ascii="Times New Roman" w:hAnsi="Times New Roman" w:cs="Times New Roman"/>
          <w:sz w:val="20"/>
          <w:szCs w:val="18"/>
          <w:vertAlign w:val="superscript"/>
        </w:rPr>
        <w:t>1</w:t>
      </w:r>
      <w:r w:rsidRPr="00B47353">
        <w:rPr>
          <w:rFonts w:ascii="Times New Roman" w:hAnsi="Times New Roman" w:cs="Times New Roman"/>
          <w:sz w:val="20"/>
          <w:szCs w:val="18"/>
        </w:rPr>
        <w:t>) Amennyiben az áru vasúti szállítása a pótkocsival együtt történik.</w:t>
      </w:r>
    </w:p>
    <w:p w14:paraId="3330CC0D" w14:textId="77777777" w:rsidR="00585F5C"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p>
    <w:p w14:paraId="7210D2D4"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2.3.3. Az intézkedés élettartama</w:t>
      </w:r>
    </w:p>
    <w:p w14:paraId="0A75137E"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Az intézkedés élettartama 1 év.</w:t>
      </w:r>
    </w:p>
    <w:p w14:paraId="487981A5"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2.3.4. Az intézkedés hatásának csökkenése évente – avulás mértéke</w:t>
      </w:r>
    </w:p>
    <w:p w14:paraId="786F6B9B"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Az intézkedés alkalmazása esetén az energiamegtakarítás éves avulásával nem kell számolni.</w:t>
      </w:r>
    </w:p>
    <w:p w14:paraId="65802340"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2.3.5. Az intézkedés által elért energiamegtakarítás számítási elve</w:t>
      </w:r>
    </w:p>
    <w:p w14:paraId="7FD53785"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A számítás alapelve a két szállítási mód fajlagos üzemanyag felhasználása közötti különbségen alapul. Az adott esetben a számolásnál arra kell tekintettel lenni, hogy a közúti szállításnál a hasznos tömeg a 2.3.2.1. táblázat 3. sora szerinti szállított hasznos teher, míg a vasúti szállításnál ehhez hozzáadódik a pótkocsi saját tömege a 2.3.2.1. táblázat 2. sora szerint, amennyiben az áru nem kerül átrakásra, hanem a pótkocsival együtt történik meg a szállítása.</w:t>
      </w:r>
    </w:p>
    <w:p w14:paraId="31BFF163"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p>
    <w:p w14:paraId="2B9C3769"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A számolásnál alkalmazandó fajlagos üzemanyag felhasználás értékek:</w:t>
      </w:r>
    </w:p>
    <w:p w14:paraId="230685D2" w14:textId="77777777" w:rsidR="00585F5C" w:rsidRPr="00B47353" w:rsidRDefault="00585F5C" w:rsidP="00585F5C">
      <w:pPr>
        <w:tabs>
          <w:tab w:val="left" w:pos="2840"/>
        </w:tabs>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Közúti szállítás:</w:t>
      </w:r>
      <w:r w:rsidRPr="00B47353">
        <w:rPr>
          <w:rFonts w:ascii="Times New Roman" w:hAnsi="Times New Roman" w:cs="Times New Roman"/>
          <w:sz w:val="20"/>
          <w:szCs w:val="18"/>
        </w:rPr>
        <w:tab/>
      </w:r>
      <w:r w:rsidRPr="00B47353">
        <w:rPr>
          <w:rFonts w:ascii="Times New Roman" w:hAnsi="Times New Roman" w:cs="Times New Roman"/>
          <w:i/>
          <w:iCs/>
          <w:sz w:val="20"/>
          <w:szCs w:val="18"/>
        </w:rPr>
        <w:t>F</w:t>
      </w:r>
      <w:r w:rsidRPr="00B47353">
        <w:rPr>
          <w:rFonts w:ascii="Times New Roman" w:hAnsi="Times New Roman" w:cs="Times New Roman"/>
          <w:i/>
          <w:iCs/>
          <w:sz w:val="20"/>
          <w:szCs w:val="18"/>
          <w:vertAlign w:val="subscript"/>
        </w:rPr>
        <w:t>közúti</w:t>
      </w:r>
      <w:r w:rsidRPr="00B47353">
        <w:rPr>
          <w:rFonts w:ascii="Times New Roman" w:hAnsi="Times New Roman" w:cs="Times New Roman"/>
          <w:i/>
          <w:iCs/>
          <w:sz w:val="20"/>
          <w:szCs w:val="18"/>
        </w:rPr>
        <w:t xml:space="preserve"> = 0,89 MJ/tkm</w:t>
      </w:r>
    </w:p>
    <w:p w14:paraId="4C48987D" w14:textId="77777777" w:rsidR="00585F5C" w:rsidRPr="00B47353" w:rsidRDefault="00585F5C" w:rsidP="00585F5C">
      <w:pPr>
        <w:tabs>
          <w:tab w:val="left" w:pos="2840"/>
        </w:tabs>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Vasúti szállítás:</w:t>
      </w:r>
      <w:r w:rsidRPr="00B47353">
        <w:rPr>
          <w:rFonts w:ascii="Times New Roman" w:hAnsi="Times New Roman" w:cs="Times New Roman"/>
          <w:sz w:val="20"/>
          <w:szCs w:val="18"/>
        </w:rPr>
        <w:tab/>
      </w:r>
      <w:r w:rsidRPr="00B47353">
        <w:rPr>
          <w:rFonts w:ascii="Times New Roman" w:hAnsi="Times New Roman" w:cs="Times New Roman"/>
          <w:i/>
          <w:iCs/>
          <w:sz w:val="20"/>
          <w:szCs w:val="18"/>
        </w:rPr>
        <w:t>F</w:t>
      </w:r>
      <w:r w:rsidRPr="00B47353">
        <w:rPr>
          <w:rFonts w:ascii="Times New Roman" w:hAnsi="Times New Roman" w:cs="Times New Roman"/>
          <w:i/>
          <w:iCs/>
          <w:sz w:val="20"/>
          <w:szCs w:val="18"/>
          <w:vertAlign w:val="subscript"/>
        </w:rPr>
        <w:t>vasúti</w:t>
      </w:r>
      <w:r w:rsidRPr="00B47353">
        <w:rPr>
          <w:rFonts w:ascii="Times New Roman" w:hAnsi="Times New Roman" w:cs="Times New Roman"/>
          <w:i/>
          <w:iCs/>
          <w:sz w:val="20"/>
          <w:szCs w:val="18"/>
        </w:rPr>
        <w:t xml:space="preserve"> = 0,19 MJ/tkm</w:t>
      </w:r>
    </w:p>
    <w:p w14:paraId="180ECD07"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A régi szállítási módnál a teljes útvonalhosszon közúton történő szállítás esetén felmerülő úthosszt kell figyelembe venni. Az új szállítási módnál a ténylegesen megvalósult szállítás közúton és vasúton megvalósult úthosszait kell figyelembe venni.</w:t>
      </w:r>
    </w:p>
    <w:p w14:paraId="0ADC4250"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2.3.6. A minimális energiahatékonysági követelménynek megfelelő referenciaértékek</w:t>
      </w:r>
    </w:p>
    <w:p w14:paraId="3EE8B674"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Az intézkedéshez köthető minimális energiahatékonysági követelményérték nincs.</w:t>
      </w:r>
    </w:p>
    <w:p w14:paraId="00AC4D3F"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2.3.7. Az energiamegtakarítás számítása</w:t>
      </w:r>
    </w:p>
    <w:p w14:paraId="6D1C19D7" w14:textId="77777777" w:rsidR="00585F5C"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Az éves végsőenergia-megtakarítás számolása a következő (2.3.7.1.) képlettel történik:</w:t>
      </w:r>
    </w:p>
    <w:p w14:paraId="5D4A14C1" w14:textId="77777777" w:rsidR="00E540F3" w:rsidRDefault="00E540F3" w:rsidP="00E540F3">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Pr>
          <w:rFonts w:ascii="Times New Roman" w:hAnsi="Times New Roman" w:cs="Times New Roman"/>
          <w:noProof/>
          <w:sz w:val="20"/>
          <w:szCs w:val="18"/>
        </w:rPr>
        <w:drawing>
          <wp:inline distT="0" distB="0" distL="0" distR="0" wp14:anchorId="0C1E9E10" wp14:editId="0591F9F8">
            <wp:extent cx="6053290" cy="381000"/>
            <wp:effectExtent l="0" t="0" r="5080" b="0"/>
            <wp:docPr id="1029645167"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645167" name="Kép 1029645167"/>
                    <pic:cNvPicPr/>
                  </pic:nvPicPr>
                  <pic:blipFill>
                    <a:blip r:embed="rId4" cstate="print">
                      <a:extLst>
                        <a:ext uri="{28A0092B-C50C-407E-A947-70E740481C1C}">
                          <a14:useLocalDpi xmlns:a14="http://schemas.microsoft.com/office/drawing/2010/main" val="0"/>
                        </a:ext>
                      </a:extLst>
                    </a:blip>
                    <a:stretch>
                      <a:fillRect/>
                    </a:stretch>
                  </pic:blipFill>
                  <pic:spPr>
                    <a:xfrm>
                      <a:off x="0" y="0"/>
                      <a:ext cx="6164180" cy="387980"/>
                    </a:xfrm>
                    <a:prstGeom prst="rect">
                      <a:avLst/>
                    </a:prstGeom>
                  </pic:spPr>
                </pic:pic>
              </a:graphicData>
            </a:graphic>
          </wp:inline>
        </w:drawing>
      </w:r>
    </w:p>
    <w:p w14:paraId="650C48D7"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ahol:</w:t>
      </w:r>
    </w:p>
    <w:p w14:paraId="23534556"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 xml:space="preserve">n: az adott évben elszámolt szállítmányok száma </w:t>
      </w:r>
      <w:r w:rsidRPr="00B47353">
        <w:rPr>
          <w:rFonts w:ascii="Times New Roman" w:hAnsi="Times New Roman" w:cs="Times New Roman"/>
          <w:i/>
          <w:iCs/>
          <w:sz w:val="20"/>
          <w:szCs w:val="18"/>
        </w:rPr>
        <w:t>[db]</w:t>
      </w:r>
    </w:p>
    <w:p w14:paraId="4C97B6EE"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u</w:t>
      </w:r>
      <w:r w:rsidRPr="00B47353">
        <w:rPr>
          <w:rFonts w:ascii="Times New Roman" w:hAnsi="Times New Roman" w:cs="Times New Roman"/>
          <w:sz w:val="20"/>
          <w:szCs w:val="18"/>
          <w:vertAlign w:val="subscript"/>
        </w:rPr>
        <w:t>régi,i</w:t>
      </w:r>
      <w:r w:rsidRPr="00B47353">
        <w:rPr>
          <w:rFonts w:ascii="Times New Roman" w:hAnsi="Times New Roman" w:cs="Times New Roman"/>
          <w:sz w:val="20"/>
          <w:szCs w:val="18"/>
        </w:rPr>
        <w:t xml:space="preserve">: az i-edik elszámolt szállítmány tisztán közúton teljesített számolt úthossza </w:t>
      </w:r>
      <w:r w:rsidRPr="00B47353">
        <w:rPr>
          <w:rFonts w:ascii="Times New Roman" w:hAnsi="Times New Roman" w:cs="Times New Roman"/>
          <w:i/>
          <w:iCs/>
          <w:sz w:val="20"/>
          <w:szCs w:val="18"/>
        </w:rPr>
        <w:t>[km]</w:t>
      </w:r>
    </w:p>
    <w:p w14:paraId="73519542"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u</w:t>
      </w:r>
      <w:r w:rsidRPr="00B47353">
        <w:rPr>
          <w:rFonts w:ascii="Times New Roman" w:hAnsi="Times New Roman" w:cs="Times New Roman"/>
          <w:sz w:val="20"/>
          <w:szCs w:val="18"/>
          <w:vertAlign w:val="subscript"/>
        </w:rPr>
        <w:t>új,i</w:t>
      </w:r>
      <w:r w:rsidRPr="00B47353">
        <w:rPr>
          <w:rFonts w:ascii="Times New Roman" w:hAnsi="Times New Roman" w:cs="Times New Roman"/>
          <w:sz w:val="20"/>
          <w:szCs w:val="18"/>
        </w:rPr>
        <w:t xml:space="preserve">: az i-edik elszámolt szállítmány közúton teljesített tényleges úthossza </w:t>
      </w:r>
      <w:r w:rsidRPr="00B47353">
        <w:rPr>
          <w:rFonts w:ascii="Times New Roman" w:hAnsi="Times New Roman" w:cs="Times New Roman"/>
          <w:i/>
          <w:iCs/>
          <w:sz w:val="20"/>
          <w:szCs w:val="18"/>
        </w:rPr>
        <w:t>[km]</w:t>
      </w:r>
    </w:p>
    <w:p w14:paraId="1BD80C26"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v</w:t>
      </w:r>
      <w:r w:rsidRPr="00B47353">
        <w:rPr>
          <w:rFonts w:ascii="Times New Roman" w:hAnsi="Times New Roman" w:cs="Times New Roman"/>
          <w:sz w:val="20"/>
          <w:szCs w:val="18"/>
          <w:vertAlign w:val="subscript"/>
        </w:rPr>
        <w:t>új,i</w:t>
      </w:r>
      <w:r w:rsidRPr="00B47353">
        <w:rPr>
          <w:rFonts w:ascii="Times New Roman" w:hAnsi="Times New Roman" w:cs="Times New Roman"/>
          <w:sz w:val="20"/>
          <w:szCs w:val="18"/>
        </w:rPr>
        <w:t xml:space="preserve">: az i-edik elszámolt szállítmány vasúton teljesített tényleges úthossza </w:t>
      </w:r>
      <w:r w:rsidRPr="00B47353">
        <w:rPr>
          <w:rFonts w:ascii="Times New Roman" w:hAnsi="Times New Roman" w:cs="Times New Roman"/>
          <w:i/>
          <w:iCs/>
          <w:sz w:val="20"/>
          <w:szCs w:val="18"/>
        </w:rPr>
        <w:t>[km]</w:t>
      </w:r>
    </w:p>
    <w:p w14:paraId="4A56DB5B"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F</w:t>
      </w:r>
      <w:r w:rsidRPr="00B47353">
        <w:rPr>
          <w:rFonts w:ascii="Times New Roman" w:hAnsi="Times New Roman" w:cs="Times New Roman"/>
          <w:sz w:val="20"/>
          <w:szCs w:val="18"/>
          <w:vertAlign w:val="subscript"/>
        </w:rPr>
        <w:t>közúti</w:t>
      </w:r>
      <w:r w:rsidRPr="00B47353">
        <w:rPr>
          <w:rFonts w:ascii="Times New Roman" w:hAnsi="Times New Roman" w:cs="Times New Roman"/>
          <w:sz w:val="20"/>
          <w:szCs w:val="18"/>
        </w:rPr>
        <w:t xml:space="preserve">: a közúti szállítás fajlagos üzemanyag felhasználása a 2.3.5. szerint </w:t>
      </w:r>
      <w:r w:rsidRPr="00B47353">
        <w:rPr>
          <w:rFonts w:ascii="Times New Roman" w:hAnsi="Times New Roman" w:cs="Times New Roman"/>
          <w:i/>
          <w:iCs/>
          <w:sz w:val="20"/>
          <w:szCs w:val="18"/>
        </w:rPr>
        <w:t>[MJ/tkm]</w:t>
      </w:r>
    </w:p>
    <w:p w14:paraId="012A0BD4"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F</w:t>
      </w:r>
      <w:r w:rsidRPr="00B47353">
        <w:rPr>
          <w:rFonts w:ascii="Times New Roman" w:hAnsi="Times New Roman" w:cs="Times New Roman"/>
          <w:sz w:val="20"/>
          <w:szCs w:val="18"/>
          <w:vertAlign w:val="subscript"/>
        </w:rPr>
        <w:t>vasúti</w:t>
      </w:r>
      <w:r w:rsidRPr="00B47353">
        <w:rPr>
          <w:rFonts w:ascii="Times New Roman" w:hAnsi="Times New Roman" w:cs="Times New Roman"/>
          <w:sz w:val="20"/>
          <w:szCs w:val="18"/>
        </w:rPr>
        <w:t xml:space="preserve">: a vasúti szállítás fajlagos üzemanyag felhasználása a 2.3.5. szerint </w:t>
      </w:r>
      <w:r w:rsidRPr="00B47353">
        <w:rPr>
          <w:rFonts w:ascii="Times New Roman" w:hAnsi="Times New Roman" w:cs="Times New Roman"/>
          <w:i/>
          <w:iCs/>
          <w:sz w:val="20"/>
          <w:szCs w:val="18"/>
        </w:rPr>
        <w:t>[MJ/tkm]</w:t>
      </w:r>
    </w:p>
    <w:p w14:paraId="4514685B"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m</w:t>
      </w:r>
      <w:r w:rsidRPr="00B47353">
        <w:rPr>
          <w:rFonts w:ascii="Times New Roman" w:hAnsi="Times New Roman" w:cs="Times New Roman"/>
          <w:sz w:val="20"/>
          <w:szCs w:val="18"/>
          <w:vertAlign w:val="subscript"/>
        </w:rPr>
        <w:t>sz,i</w:t>
      </w:r>
      <w:r w:rsidRPr="00B47353">
        <w:rPr>
          <w:rFonts w:ascii="Times New Roman" w:hAnsi="Times New Roman" w:cs="Times New Roman"/>
          <w:sz w:val="20"/>
          <w:szCs w:val="18"/>
        </w:rPr>
        <w:t xml:space="preserve">: az i-edik elszámolt szállítmány tömege a 2.3.2.1. táblázat 3. sora szerint </w:t>
      </w:r>
      <w:r w:rsidRPr="00B47353">
        <w:rPr>
          <w:rFonts w:ascii="Times New Roman" w:hAnsi="Times New Roman" w:cs="Times New Roman"/>
          <w:i/>
          <w:iCs/>
          <w:sz w:val="20"/>
          <w:szCs w:val="18"/>
        </w:rPr>
        <w:t>[t]</w:t>
      </w:r>
    </w:p>
    <w:p w14:paraId="3AF44892"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m</w:t>
      </w:r>
      <w:r w:rsidRPr="00B47353">
        <w:rPr>
          <w:rFonts w:ascii="Times New Roman" w:hAnsi="Times New Roman" w:cs="Times New Roman"/>
          <w:sz w:val="20"/>
          <w:szCs w:val="18"/>
          <w:vertAlign w:val="subscript"/>
        </w:rPr>
        <w:t>fp,i</w:t>
      </w:r>
      <w:r w:rsidRPr="00B47353">
        <w:rPr>
          <w:rFonts w:ascii="Times New Roman" w:hAnsi="Times New Roman" w:cs="Times New Roman"/>
          <w:sz w:val="20"/>
          <w:szCs w:val="18"/>
        </w:rPr>
        <w:t xml:space="preserve">: az i-edik elszámolt szállítmány pótkocsijának tömege a 2.3.2.1. táblázat 2. sora szerint, ha a pótkocsi nem kerül vasútra, akkor értéke 0, </w:t>
      </w:r>
      <w:r w:rsidRPr="00B47353">
        <w:rPr>
          <w:rFonts w:ascii="Times New Roman" w:hAnsi="Times New Roman" w:cs="Times New Roman"/>
          <w:i/>
          <w:iCs/>
          <w:sz w:val="20"/>
          <w:szCs w:val="18"/>
        </w:rPr>
        <w:t>[t]</w:t>
      </w:r>
    </w:p>
    <w:p w14:paraId="4890E25A"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lastRenderedPageBreak/>
        <w:t>a: Az intézkedést alkalmazó társaság által az érintett szállítási területen használt összes tehergépjárművére vonatkozó szállítási célú üzemanyag felhasználáson belül az előző évben Magyarország területén tankolt üzemanyag részaránya</w:t>
      </w:r>
    </w:p>
    <w:p w14:paraId="79488450"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2.3.8. Az elszámolható végsőenergia-megtakarítás igazolásához szükséges dokumentumok</w:t>
      </w:r>
    </w:p>
    <w:p w14:paraId="6E08E74C"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a) A közúti szállítást végző gépjármű kategóriáját igazoló dokumentum (forgalmi engedély).</w:t>
      </w:r>
    </w:p>
    <w:p w14:paraId="669E40B9"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b) A pótkocsi számításnál figyelembe veendő adatait igazoló okmány (forgalmi engedély).</w:t>
      </w:r>
    </w:p>
    <w:p w14:paraId="6025EB9F"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c) A szállítmány tömegét, induló és célállomását igazoló számviteli bizonylatok és/vagy (nemzetközi) fuvarokmányok.</w:t>
      </w:r>
    </w:p>
    <w:p w14:paraId="29CD1A9D"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d) A feltételezett teljes közúti szállítási útvonal hosszát alátámasztó számítás visszakereshetően archivált dokumentumai, összhangban a hazai és nemzetközi közúti fuvarozási előírásokkal (így különösen igénybe vehető utak, hidak) szállítmányonként.</w:t>
      </w:r>
    </w:p>
    <w:p w14:paraId="3C82C96F"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e) A ténylegesen megvalósult közúti fuvarozási útvonalak szállítmányonként, számviteli bizonylatokkal alátámasztva.</w:t>
      </w:r>
    </w:p>
    <w:p w14:paraId="00767D59"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f) A vasúti szállítási szakasz hosszát igazoló számviteli bizonylatok és/vagy (nemzetközi) fuvarokmányok.</w:t>
      </w:r>
    </w:p>
    <w:p w14:paraId="5CB36086"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g) Számviteli bizonylatok alapján levezetett belföldi tankolási arány számolás, amelyben ellenőrizhető, hogy az előző évi szállítási tevékenységhez milyen mennyiségű és energiatartalmú üzemanyag kapcsolódott belföldi és nemzetközi tankolásból.</w:t>
      </w:r>
    </w:p>
    <w:p w14:paraId="688AE06D"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 xml:space="preserve">h) A végsőenergia-megtakarítás </w:t>
      </w:r>
      <w:r w:rsidRPr="00B47353">
        <w:rPr>
          <w:rFonts w:ascii="Times New Roman" w:hAnsi="Times New Roman" w:cs="Times New Roman"/>
          <w:i/>
          <w:iCs/>
          <w:sz w:val="20"/>
          <w:szCs w:val="18"/>
        </w:rPr>
        <w:t>[GJ/év]</w:t>
      </w:r>
      <w:r w:rsidRPr="00B47353">
        <w:rPr>
          <w:rFonts w:ascii="Times New Roman" w:hAnsi="Times New Roman" w:cs="Times New Roman"/>
          <w:sz w:val="20"/>
          <w:szCs w:val="18"/>
        </w:rPr>
        <w:t xml:space="preserve"> számítása.</w:t>
      </w:r>
    </w:p>
    <w:p w14:paraId="32D0A28B"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2.3.9. Az intézkedés elszámolhatóságának kezdete</w:t>
      </w:r>
    </w:p>
    <w:p w14:paraId="08F88C63" w14:textId="77777777" w:rsidR="00585F5C" w:rsidRPr="00B47353"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Az intézkedés elszámolása utólagos. Egy egybefüggő 365 napos időszak elszámolása szükséges. Az utólagos elszámolás indoka, hogy a bevezetésekor nem ismert, hogy mennyi közúti gépjármű és mennyi általa szállított teher lesz vasúti teherszállítással kiváltva.</w:t>
      </w:r>
    </w:p>
    <w:p w14:paraId="422E55EE" w14:textId="3F4F9E9E" w:rsidR="009531AE" w:rsidRPr="00585F5C" w:rsidRDefault="00585F5C" w:rsidP="00585F5C">
      <w:pPr>
        <w:suppressAutoHyphens/>
        <w:autoSpaceDE w:val="0"/>
        <w:autoSpaceDN w:val="0"/>
        <w:adjustRightInd w:val="0"/>
        <w:spacing w:after="0" w:line="240" w:lineRule="auto"/>
        <w:jc w:val="both"/>
        <w:textAlignment w:val="center"/>
        <w:rPr>
          <w:rFonts w:ascii="Times New Roman" w:hAnsi="Times New Roman" w:cs="Times New Roman"/>
          <w:sz w:val="20"/>
          <w:szCs w:val="18"/>
        </w:rPr>
      </w:pPr>
      <w:r w:rsidRPr="00B47353">
        <w:rPr>
          <w:rFonts w:ascii="Times New Roman" w:hAnsi="Times New Roman" w:cs="Times New Roman"/>
          <w:sz w:val="20"/>
          <w:szCs w:val="18"/>
        </w:rPr>
        <w:t>Az intézkedés elszámolhatóságának kezdete a lényeges hozzájárulás időpontját vagy a már lezárt elszámolási időszakot követő első vasúti szállítás időpontja.</w:t>
      </w:r>
      <w:r w:rsidR="001B28EF">
        <w:rPr>
          <w:rFonts w:ascii="Times New Roman" w:hAnsi="Times New Roman" w:cs="Times New Roman"/>
          <w:sz w:val="20"/>
          <w:szCs w:val="18"/>
        </w:rPr>
        <w:t>”</w:t>
      </w:r>
    </w:p>
    <w:sectPr w:rsidR="009531AE" w:rsidRPr="00585F5C" w:rsidSect="00585F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F5C"/>
    <w:rsid w:val="00192B3C"/>
    <w:rsid w:val="001B28EF"/>
    <w:rsid w:val="001B2DC2"/>
    <w:rsid w:val="002F0192"/>
    <w:rsid w:val="00585F5C"/>
    <w:rsid w:val="005F2026"/>
    <w:rsid w:val="007B7B59"/>
    <w:rsid w:val="00886A0C"/>
    <w:rsid w:val="009531AE"/>
    <w:rsid w:val="00A17F27"/>
    <w:rsid w:val="00A7183E"/>
    <w:rsid w:val="00AD27A5"/>
    <w:rsid w:val="00BA4079"/>
    <w:rsid w:val="00C369BF"/>
    <w:rsid w:val="00D41200"/>
    <w:rsid w:val="00E540F3"/>
    <w:rsid w:val="00E8102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3A4D6"/>
  <w15:docId w15:val="{18EB90F0-CB7E-4F3B-8E12-AE8223FF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85F5C"/>
    <w:rPr>
      <w:rFonts w:eastAsiaTheme="minorEastAsia"/>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aliases w:val="Normal,Normal1,Normál11,Normál111,Normál1111"/>
    <w:link w:val="NincstrkzChar"/>
    <w:uiPriority w:val="1"/>
    <w:qFormat/>
    <w:rsid w:val="00585F5C"/>
    <w:pPr>
      <w:spacing w:after="0" w:line="240" w:lineRule="auto"/>
      <w:jc w:val="both"/>
    </w:pPr>
    <w:rPr>
      <w:rFonts w:ascii="Times New Roman" w:eastAsiaTheme="minorEastAsia" w:hAnsi="Times New Roman"/>
      <w:sz w:val="24"/>
      <w:lang w:eastAsia="ja-JP"/>
    </w:rPr>
  </w:style>
  <w:style w:type="character" w:customStyle="1" w:styleId="NincstrkzChar">
    <w:name w:val="Nincs térköz Char"/>
    <w:aliases w:val="Normal Char,Normal1 Char,Normál11 Char,Normál111 Char,Normál1111 Char"/>
    <w:basedOn w:val="Bekezdsalapbettpusa"/>
    <w:link w:val="Nincstrkz"/>
    <w:uiPriority w:val="1"/>
    <w:rsid w:val="00585F5C"/>
    <w:rPr>
      <w:rFonts w:ascii="Times New Roman" w:eastAsiaTheme="minorEastAsia" w:hAnsi="Times New Roman"/>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26421">
      <w:bodyDiv w:val="1"/>
      <w:marLeft w:val="0"/>
      <w:marRight w:val="0"/>
      <w:marTop w:val="0"/>
      <w:marBottom w:val="0"/>
      <w:divBdr>
        <w:top w:val="none" w:sz="0" w:space="0" w:color="auto"/>
        <w:left w:val="none" w:sz="0" w:space="0" w:color="auto"/>
        <w:bottom w:val="none" w:sz="0" w:space="0" w:color="auto"/>
        <w:right w:val="none" w:sz="0" w:space="0" w:color="auto"/>
      </w:divBdr>
    </w:div>
    <w:div w:id="34459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1557</Words>
  <Characters>10747</Characters>
  <Application>Microsoft Office Word</Application>
  <DocSecurity>0</DocSecurity>
  <Lines>89</Lines>
  <Paragraphs>24</Paragraphs>
  <ScaleCrop>false</ScaleCrop>
  <Company>Microsoft</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janto.peter</dc:creator>
  <cp:lastModifiedBy>Pusztainé Szölke Katalin</cp:lastModifiedBy>
  <cp:revision>8</cp:revision>
  <dcterms:created xsi:type="dcterms:W3CDTF">2024-09-20T09:06:00Z</dcterms:created>
  <dcterms:modified xsi:type="dcterms:W3CDTF">2024-09-20T09:54:00Z</dcterms:modified>
</cp:coreProperties>
</file>