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56" w:type="dxa"/>
          <w:right w:w="56" w:type="dxa"/>
        </w:tblCellMar>
        <w:tblLook w:val="0000" w:firstRow="0" w:lastRow="0" w:firstColumn="0" w:lastColumn="0" w:noHBand="0" w:noVBand="0"/>
      </w:tblPr>
      <w:tblGrid>
        <w:gridCol w:w="704"/>
        <w:gridCol w:w="1132"/>
        <w:gridCol w:w="2884"/>
        <w:gridCol w:w="3274"/>
        <w:gridCol w:w="1701"/>
        <w:gridCol w:w="1842"/>
        <w:gridCol w:w="3686"/>
      </w:tblGrid>
      <w:tr w:rsidR="008055D2">
        <w:trPr>
          <w:cantSplit/>
          <w:trHeight w:val="299"/>
        </w:trPr>
        <w:tc>
          <w:tcPr>
            <w:tcW w:w="704" w:type="dxa"/>
            <w:vMerge w:val="restart"/>
            <w:tcBorders>
              <w:top w:val="single" w:sz="4" w:space="0" w:color="auto"/>
              <w:left w:val="single" w:sz="4" w:space="0" w:color="auto"/>
              <w:bottom w:val="nil"/>
              <w:right w:val="single" w:sz="4" w:space="0" w:color="auto"/>
            </w:tcBorders>
            <w:vAlign w:val="center"/>
          </w:tcPr>
          <w:p w:rsidR="008055D2" w:rsidRDefault="008055D2">
            <w:pPr>
              <w:spacing w:before="40"/>
              <w:ind w:firstLine="0"/>
              <w:jc w:val="center"/>
              <w:rPr>
                <w:b/>
                <w:bCs/>
              </w:rPr>
            </w:pPr>
          </w:p>
        </w:tc>
        <w:tc>
          <w:tcPr>
            <w:tcW w:w="1132" w:type="dxa"/>
            <w:vMerge w:val="restart"/>
            <w:tcBorders>
              <w:top w:val="single" w:sz="4" w:space="0" w:color="auto"/>
              <w:left w:val="single" w:sz="4" w:space="0" w:color="auto"/>
              <w:bottom w:val="nil"/>
              <w:right w:val="single" w:sz="4" w:space="0" w:color="auto"/>
            </w:tcBorders>
            <w:vAlign w:val="bottom"/>
          </w:tcPr>
          <w:p w:rsidR="008055D2" w:rsidRDefault="00C01F06">
            <w:pPr>
              <w:spacing w:before="40"/>
              <w:ind w:firstLine="0"/>
              <w:jc w:val="center"/>
              <w:rPr>
                <w:b/>
                <w:bCs/>
              </w:rPr>
            </w:pPr>
            <w:r>
              <w:rPr>
                <w:b/>
                <w:bCs/>
              </w:rPr>
              <w:t>MNB azonosító</w:t>
            </w:r>
            <w:r>
              <w:rPr>
                <w:b/>
                <w:bCs/>
              </w:rPr>
              <w:br/>
              <w:t>kód</w:t>
            </w:r>
          </w:p>
        </w:tc>
        <w:tc>
          <w:tcPr>
            <w:tcW w:w="2884" w:type="dxa"/>
            <w:vMerge w:val="restart"/>
            <w:tcBorders>
              <w:top w:val="single" w:sz="4" w:space="0" w:color="auto"/>
              <w:left w:val="single" w:sz="4" w:space="0" w:color="auto"/>
              <w:bottom w:val="single" w:sz="4" w:space="0" w:color="auto"/>
              <w:right w:val="single" w:sz="4" w:space="0" w:color="auto"/>
            </w:tcBorders>
            <w:vAlign w:val="center"/>
          </w:tcPr>
          <w:p w:rsidR="008055D2" w:rsidRDefault="00C01F06">
            <w:pPr>
              <w:spacing w:before="40"/>
              <w:ind w:firstLine="0"/>
              <w:jc w:val="center"/>
              <w:rPr>
                <w:b/>
                <w:bCs/>
              </w:rPr>
            </w:pPr>
            <w:r>
              <w:rPr>
                <w:b/>
                <w:bCs/>
              </w:rPr>
              <w:t>Megnevezés</w:t>
            </w:r>
          </w:p>
        </w:tc>
        <w:tc>
          <w:tcPr>
            <w:tcW w:w="3274" w:type="dxa"/>
            <w:vMerge w:val="restart"/>
            <w:tcBorders>
              <w:top w:val="single" w:sz="4" w:space="0" w:color="auto"/>
              <w:left w:val="single" w:sz="4" w:space="0" w:color="auto"/>
              <w:bottom w:val="single" w:sz="4" w:space="0" w:color="auto"/>
              <w:right w:val="single" w:sz="4" w:space="0" w:color="auto"/>
            </w:tcBorders>
            <w:vAlign w:val="center"/>
          </w:tcPr>
          <w:p w:rsidR="008055D2" w:rsidRDefault="00C01F06">
            <w:pPr>
              <w:spacing w:before="40"/>
              <w:ind w:firstLine="0"/>
              <w:jc w:val="center"/>
              <w:rPr>
                <w:b/>
                <w:bCs/>
              </w:rPr>
            </w:pPr>
            <w:r>
              <w:rPr>
                <w:b/>
                <w:bCs/>
              </w:rPr>
              <w:t>Az adatszolgáltatók köre</w:t>
            </w:r>
          </w:p>
        </w:tc>
        <w:tc>
          <w:tcPr>
            <w:tcW w:w="7229" w:type="dxa"/>
            <w:gridSpan w:val="3"/>
            <w:tcBorders>
              <w:top w:val="single" w:sz="4" w:space="0" w:color="auto"/>
              <w:left w:val="nil"/>
              <w:bottom w:val="single" w:sz="4" w:space="0" w:color="auto"/>
              <w:right w:val="single" w:sz="4" w:space="0" w:color="auto"/>
            </w:tcBorders>
            <w:vAlign w:val="center"/>
          </w:tcPr>
          <w:p w:rsidR="008055D2" w:rsidRDefault="00C01F06">
            <w:pPr>
              <w:spacing w:before="40"/>
              <w:ind w:firstLine="0"/>
              <w:jc w:val="center"/>
              <w:rPr>
                <w:b/>
                <w:bCs/>
              </w:rPr>
            </w:pPr>
            <w:r>
              <w:rPr>
                <w:b/>
                <w:bCs/>
              </w:rPr>
              <w:t>Az adatszolgáltatás</w:t>
            </w:r>
          </w:p>
        </w:tc>
      </w:tr>
      <w:tr w:rsidR="008055D2">
        <w:trPr>
          <w:cantSplit/>
          <w:trHeight w:val="430"/>
        </w:trPr>
        <w:tc>
          <w:tcPr>
            <w:tcW w:w="704" w:type="dxa"/>
            <w:vMerge/>
            <w:tcBorders>
              <w:top w:val="nil"/>
              <w:left w:val="single" w:sz="4" w:space="0" w:color="auto"/>
              <w:bottom w:val="single" w:sz="4" w:space="0" w:color="auto"/>
              <w:right w:val="single" w:sz="4" w:space="0" w:color="auto"/>
            </w:tcBorders>
          </w:tcPr>
          <w:p w:rsidR="008055D2" w:rsidRDefault="008055D2">
            <w:pPr>
              <w:spacing w:before="40"/>
              <w:ind w:firstLine="0"/>
              <w:jc w:val="center"/>
              <w:rPr>
                <w:b/>
                <w:bCs/>
              </w:rPr>
            </w:pPr>
          </w:p>
        </w:tc>
        <w:tc>
          <w:tcPr>
            <w:tcW w:w="1132" w:type="dxa"/>
            <w:vMerge/>
            <w:tcBorders>
              <w:top w:val="nil"/>
              <w:left w:val="single" w:sz="4" w:space="0" w:color="auto"/>
              <w:bottom w:val="single" w:sz="4" w:space="0" w:color="auto"/>
              <w:right w:val="single" w:sz="4" w:space="0" w:color="auto"/>
            </w:tcBorders>
          </w:tcPr>
          <w:p w:rsidR="008055D2" w:rsidRDefault="008055D2">
            <w:pPr>
              <w:spacing w:before="40"/>
              <w:ind w:firstLine="0"/>
              <w:jc w:val="center"/>
              <w:rPr>
                <w:b/>
                <w:bCs/>
              </w:rPr>
            </w:pPr>
          </w:p>
        </w:tc>
        <w:tc>
          <w:tcPr>
            <w:tcW w:w="2884" w:type="dxa"/>
            <w:vMerge/>
            <w:tcBorders>
              <w:top w:val="single" w:sz="4" w:space="0" w:color="auto"/>
              <w:left w:val="single" w:sz="4" w:space="0" w:color="auto"/>
              <w:bottom w:val="single" w:sz="4" w:space="0" w:color="auto"/>
              <w:right w:val="single" w:sz="4" w:space="0" w:color="auto"/>
            </w:tcBorders>
            <w:vAlign w:val="center"/>
          </w:tcPr>
          <w:p w:rsidR="008055D2" w:rsidRDefault="008055D2">
            <w:pPr>
              <w:spacing w:before="40"/>
              <w:ind w:firstLine="0"/>
              <w:rPr>
                <w:b/>
                <w:bCs/>
              </w:rPr>
            </w:pPr>
          </w:p>
        </w:tc>
        <w:tc>
          <w:tcPr>
            <w:tcW w:w="3274" w:type="dxa"/>
            <w:vMerge/>
            <w:tcBorders>
              <w:top w:val="single" w:sz="4" w:space="0" w:color="auto"/>
              <w:left w:val="single" w:sz="4" w:space="0" w:color="auto"/>
              <w:bottom w:val="single" w:sz="4" w:space="0" w:color="auto"/>
              <w:right w:val="single" w:sz="4" w:space="0" w:color="auto"/>
            </w:tcBorders>
            <w:vAlign w:val="center"/>
          </w:tcPr>
          <w:p w:rsidR="008055D2" w:rsidRDefault="008055D2">
            <w:pPr>
              <w:spacing w:before="40"/>
              <w:ind w:firstLine="0"/>
              <w:rPr>
                <w:b/>
                <w:bCs/>
              </w:rPr>
            </w:pPr>
          </w:p>
        </w:tc>
        <w:tc>
          <w:tcPr>
            <w:tcW w:w="1701" w:type="dxa"/>
            <w:tcBorders>
              <w:top w:val="nil"/>
              <w:left w:val="nil"/>
              <w:bottom w:val="single" w:sz="4" w:space="0" w:color="auto"/>
              <w:right w:val="single" w:sz="4" w:space="0" w:color="auto"/>
            </w:tcBorders>
            <w:vAlign w:val="center"/>
          </w:tcPr>
          <w:p w:rsidR="008055D2" w:rsidRDefault="00C01F06">
            <w:pPr>
              <w:spacing w:before="40"/>
              <w:ind w:firstLine="0"/>
              <w:jc w:val="center"/>
              <w:rPr>
                <w:b/>
                <w:bCs/>
              </w:rPr>
            </w:pPr>
            <w:r>
              <w:rPr>
                <w:b/>
                <w:bCs/>
              </w:rPr>
              <w:t>gyakorisága</w:t>
            </w:r>
          </w:p>
        </w:tc>
        <w:tc>
          <w:tcPr>
            <w:tcW w:w="1842" w:type="dxa"/>
            <w:tcBorders>
              <w:top w:val="nil"/>
              <w:left w:val="nil"/>
              <w:bottom w:val="single" w:sz="4" w:space="0" w:color="auto"/>
              <w:right w:val="single" w:sz="4" w:space="0" w:color="auto"/>
            </w:tcBorders>
            <w:vAlign w:val="center"/>
          </w:tcPr>
          <w:p w:rsidR="008055D2" w:rsidRDefault="00C01F06">
            <w:pPr>
              <w:spacing w:before="40"/>
              <w:ind w:firstLine="0"/>
              <w:jc w:val="center"/>
              <w:rPr>
                <w:b/>
                <w:bCs/>
              </w:rPr>
            </w:pPr>
            <w:r>
              <w:rPr>
                <w:b/>
                <w:bCs/>
              </w:rPr>
              <w:t>teljesítésének módja</w:t>
            </w:r>
          </w:p>
        </w:tc>
        <w:tc>
          <w:tcPr>
            <w:tcW w:w="3686" w:type="dxa"/>
            <w:tcBorders>
              <w:top w:val="nil"/>
              <w:left w:val="nil"/>
              <w:bottom w:val="single" w:sz="4" w:space="0" w:color="auto"/>
              <w:right w:val="single" w:sz="4" w:space="0" w:color="auto"/>
            </w:tcBorders>
            <w:vAlign w:val="center"/>
          </w:tcPr>
          <w:p w:rsidR="008055D2" w:rsidRDefault="00C01F06">
            <w:pPr>
              <w:spacing w:before="40"/>
              <w:ind w:firstLine="0"/>
              <w:jc w:val="center"/>
              <w:rPr>
                <w:b/>
                <w:bCs/>
              </w:rPr>
            </w:pPr>
            <w:r>
              <w:rPr>
                <w:b/>
                <w:bCs/>
              </w:rPr>
              <w:t>határideje</w:t>
            </w:r>
          </w:p>
        </w:tc>
      </w:tr>
      <w:tr w:rsidR="008055D2">
        <w:trPr>
          <w:cantSplit/>
          <w:trHeight w:val="1406"/>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1</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AL7</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Külföldről származó, adósságtípusú források változásának összetevői</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kijelölt hitelintézet, az </w:t>
            </w:r>
            <w:proofErr w:type="gramStart"/>
            <w:r>
              <w:t>ezen</w:t>
            </w:r>
            <w:proofErr w:type="gramEnd"/>
            <w:r>
              <w:t xml:space="preserve"> típusú, az Európai Unió másiktagállamában vagy az Európai Gazdasági Térségről szóló megállapodásban részes más államban (a továbbiakban együtt: EGT-állam) székhellyel rendelkező pénzügyi intézmény magyarországi fióktelepe </w:t>
            </w:r>
            <w:r>
              <w:br/>
              <w:t xml:space="preserve">(a továbbiakban: </w:t>
            </w:r>
            <w:proofErr w:type="spellStart"/>
            <w:r>
              <w:t>EGT-fióktelep</w:t>
            </w:r>
            <w:proofErr w:type="spellEnd"/>
            <w:r>
              <w:t>)</w:t>
            </w:r>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 xml:space="preserve">[“Elektronikus Rendszer Hitelesített Adatok Fogadásához” megnevezésű rendszer </w:t>
            </w:r>
            <w:r>
              <w:br/>
              <w:t>(a továbbiakban: 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tárgyidőszakot követő 3. Munkanap</w:t>
            </w:r>
            <w:r>
              <w:br/>
              <w:t xml:space="preserve"> 12 óra</w:t>
            </w:r>
          </w:p>
        </w:tc>
      </w:tr>
      <w:tr w:rsidR="008055D2">
        <w:trPr>
          <w:cantSplit/>
          <w:trHeight w:val="556"/>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2</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AL8</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Az egyes </w:t>
            </w:r>
            <w:proofErr w:type="spellStart"/>
            <w:r>
              <w:t>NHP-szakaszok</w:t>
            </w:r>
            <w:proofErr w:type="spellEnd"/>
            <w:r>
              <w:t xml:space="preserve"> és </w:t>
            </w:r>
            <w:proofErr w:type="spellStart"/>
            <w:r>
              <w:t>-konstrukciók</w:t>
            </w:r>
            <w:proofErr w:type="spellEnd"/>
            <w:r>
              <w:t xml:space="preserve"> keretében a kis- és középvállalkozásoknak nyújtott hitelek adatai</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a Növekedési Hitelprogramban (a továbbiakban: NHP), a Növekedési Hitelprogram Pluszban (a továbbiakban: NHP+), a Növekedési Hitelprogram Fixben (a továbbiakban: NHP </w:t>
            </w:r>
            <w:r>
              <w:rPr>
                <w:i/>
                <w:iCs/>
              </w:rPr>
              <w:t>fix</w:t>
            </w:r>
            <w:r>
              <w:t xml:space="preserve">), illetve a Növekedési Hitelprogram Hajrában (a továbbiakban: NHP Hajrá) (a továbbiakban együtt: </w:t>
            </w:r>
            <w:proofErr w:type="spellStart"/>
            <w:r>
              <w:t>NHP-szakaszok</w:t>
            </w:r>
            <w:proofErr w:type="spellEnd"/>
            <w:r>
              <w:t xml:space="preserve"> és </w:t>
            </w:r>
            <w:proofErr w:type="spellStart"/>
            <w:r>
              <w:t>-konstrukciók</w:t>
            </w:r>
            <w:proofErr w:type="spellEnd"/>
            <w:r>
              <w:t xml:space="preserve">) részt vevő hitelintézet,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eseti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 (</w:t>
            </w:r>
            <w:proofErr w:type="spellStart"/>
            <w:r>
              <w:t>GiroHálóMail</w:t>
            </w:r>
            <w:proofErr w:type="spellEnd"/>
            <w:r>
              <w:t>)</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az NHP harmadik szakaszának II. pillére kivételével az egyes </w:t>
            </w:r>
            <w:proofErr w:type="spellStart"/>
            <w:r>
              <w:t>NHP-szakaszok</w:t>
            </w:r>
            <w:proofErr w:type="spellEnd"/>
            <w:r>
              <w:t xml:space="preserve"> és –konstrukciók keretében az MNB-től refinanszírozni kért KKV-hitelek adatai tekintetében: </w:t>
            </w:r>
          </w:p>
          <w:p w:rsidR="008055D2" w:rsidRDefault="00C01F06">
            <w:pPr>
              <w:spacing w:after="0"/>
              <w:ind w:left="75" w:firstLine="0"/>
              <w:jc w:val="left"/>
            </w:pPr>
            <w:r>
              <w:t>- a refinanszírozási hitel kívánt folyósítási napját megelőző munkanap 15 óra (szombati munkanap esetén 12 óra);</w:t>
            </w:r>
          </w:p>
          <w:p w:rsidR="008055D2" w:rsidRDefault="00C01F06">
            <w:pPr>
              <w:spacing w:after="0"/>
              <w:ind w:left="75" w:firstLine="0"/>
              <w:jc w:val="left"/>
            </w:pPr>
            <w:r>
              <w:t xml:space="preserve">- a jelentett adatokban beállt változás esetén: a kitöltési előírások eltérő rendelkezése hiányában a változás adatszolgáltató által előre ismert napján </w:t>
            </w:r>
            <w:r>
              <w:br/>
              <w:t xml:space="preserve">15 óra, szombati munkanap esetén 12 óra; </w:t>
            </w:r>
          </w:p>
          <w:p w:rsidR="008055D2" w:rsidRDefault="008055D2">
            <w:pPr>
              <w:spacing w:after="0"/>
              <w:ind w:firstLine="0"/>
              <w:jc w:val="left"/>
            </w:pPr>
          </w:p>
          <w:p w:rsidR="008055D2" w:rsidRDefault="00C01F06">
            <w:pPr>
              <w:spacing w:after="0"/>
              <w:ind w:firstLine="0"/>
              <w:jc w:val="left"/>
            </w:pPr>
            <w:r>
              <w:t>az NHP harmadik szakaszának II. pillére keretében az MNB-től refinanszírozni kért KKV-hitelek adatai tekintetében:</w:t>
            </w:r>
          </w:p>
          <w:p w:rsidR="008055D2" w:rsidRDefault="00C01F06">
            <w:pPr>
              <w:spacing w:after="0"/>
              <w:ind w:firstLine="0"/>
              <w:jc w:val="left"/>
            </w:pPr>
            <w:r>
              <w:t>a KKV hitelszerződés megkötését, illetve a jelentett adatokban beállt változást követő, az NHP harmadik szakaszának I. és II. pillére keretében folyósított refinanszírozási hitelek igénybevételének módjáról és feltételeiről szóló Terméktájékoztatóban meghatározott adatszolgáltatási nap 15 óra;</w:t>
            </w:r>
          </w:p>
        </w:tc>
      </w:tr>
      <w:tr w:rsidR="008055D2">
        <w:trPr>
          <w:cantSplit/>
          <w:trHeight w:val="1020"/>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lastRenderedPageBreak/>
              <w:t>3</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AL12</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Az NHP Zöld Otthon Program keretében a lakossági ügyfeleknek nyújtott hitelek adatai</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az NHP Zöld Otthon Programban (a továbbiakban: NHPZOP) részt vevő hitelintézet, az ezen típusú </w:t>
            </w:r>
            <w:r>
              <w:br/>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eseti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 (</w:t>
            </w:r>
            <w:proofErr w:type="spellStart"/>
            <w:r>
              <w:t>GiroHálóMail</w:t>
            </w:r>
            <w:proofErr w:type="spellEnd"/>
            <w:r>
              <w:t>)</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pPr>
            <w:r>
              <w:t>az NHPZOP keretében az MNB-től refinanszírozni kért lakossági hitelek adatai tekintetében:</w:t>
            </w:r>
          </w:p>
          <w:p w:rsidR="008055D2" w:rsidRDefault="00C01F06">
            <w:pPr>
              <w:spacing w:after="0"/>
              <w:ind w:firstLine="0"/>
            </w:pPr>
            <w:r>
              <w:t>- a refinanszírozási hitel kívánt folyósítási napját megelőző munkanap 15 óra (szombati munkanap esetén 12 óra);</w:t>
            </w:r>
          </w:p>
          <w:p w:rsidR="008055D2" w:rsidRDefault="00C01F06">
            <w:pPr>
              <w:spacing w:after="0"/>
              <w:ind w:firstLine="0"/>
              <w:jc w:val="left"/>
            </w:pPr>
            <w:r>
              <w:t>- a jelentett adatokban beállt változás esetén: a kitöltési előírások eltérő rendelkezése hiányában a változás adatszolgáltató által előre ismert napján 15 óra, szombati munkanap esetén 12 óra;</w:t>
            </w:r>
          </w:p>
        </w:tc>
      </w:tr>
      <w:tr w:rsidR="008055D2">
        <w:trPr>
          <w:cantSplit/>
          <w:trHeight w:val="1020"/>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4</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BSI</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Banki </w:t>
            </w:r>
            <w:proofErr w:type="spellStart"/>
            <w:r>
              <w:t>konjunktúrafelmérés</w:t>
            </w:r>
            <w:proofErr w:type="spellEnd"/>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bank, ideértve a részvénytársasági formában működő szövetkezeti hitelintézetet is (a továbbiakban együtt: bank), szakosított hitelintézet,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a 01. tábla tekintetében negyedéves, a 02-06. tábla tekintetében féléves</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tárgyidőszakot követő 20. munkanap</w:t>
            </w:r>
          </w:p>
        </w:tc>
      </w:tr>
      <w:tr w:rsidR="008055D2">
        <w:trPr>
          <w:cantSplit/>
          <w:trHeight w:val="761"/>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5</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D01</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Operatív napi jelentés a hitelintézetek devizahelyzetének változásáról </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bank, szakosított hitelintézet,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napi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tárgynapot követő munkanap 12 óra</w:t>
            </w:r>
          </w:p>
        </w:tc>
      </w:tr>
      <w:tr w:rsidR="008055D2">
        <w:trPr>
          <w:cantSplit/>
          <w:trHeight w:val="1044"/>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6</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D02</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Operatív napi jelentés a cégcsoport tagok devizahelyzetének változásáról</w:t>
            </w:r>
          </w:p>
        </w:tc>
        <w:tc>
          <w:tcPr>
            <w:tcW w:w="3274" w:type="dxa"/>
            <w:tcBorders>
              <w:top w:val="nil"/>
              <w:left w:val="nil"/>
              <w:bottom w:val="single" w:sz="4" w:space="0" w:color="auto"/>
              <w:right w:val="single" w:sz="4" w:space="0" w:color="auto"/>
            </w:tcBorders>
            <w:vAlign w:val="center"/>
          </w:tcPr>
          <w:p w:rsidR="008055D2" w:rsidRDefault="00C01F06">
            <w:pPr>
              <w:spacing w:before="120" w:after="0"/>
              <w:ind w:firstLine="0"/>
              <w:jc w:val="left"/>
            </w:pPr>
            <w:proofErr w:type="gramStart"/>
            <w:r>
              <w:t>összevont alapú felügyelet alá tartozó, hitelintézeti csoportot vezető hitelintézet, amennyiben valamely, a hitelintézetekre vonatkozó prudenciális követelményekről és a 648/2012/EU rendelet módosításáról szóló 2013. június 26-i 575/2013/EU európai parlamenti és tanácsi rendelet (a továbbiakban: CRR) szerinti konszolidációs körbe tartozó, de D01 MNB azonosító kódú adatszolgáltatást nem teljesítő leányvállalata hitelintézet, vagy a leányvállalata CRR 352. cikke szerinti, egyedi szinten értelmezett nyitott devizapozíciója a tárgynapot megelőző negyedév végén eléri vagy meghaladja a 300 millió forintot</w:t>
            </w:r>
            <w:proofErr w:type="gramEnd"/>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napi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tárgynapot követő 2. munkanap 12 óra</w:t>
            </w:r>
          </w:p>
        </w:tc>
      </w:tr>
      <w:tr w:rsidR="008055D2">
        <w:trPr>
          <w:cantSplit/>
          <w:trHeight w:val="839"/>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7</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D10</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Digitálisan használt számlák adatai</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bank, az </w:t>
            </w:r>
            <w:proofErr w:type="spellStart"/>
            <w:r>
              <w:t>Eximbank</w:t>
            </w:r>
            <w:proofErr w:type="spellEnd"/>
            <w:r>
              <w:t xml:space="preserve"> Zrt</w:t>
            </w:r>
            <w:proofErr w:type="gramStart"/>
            <w:r>
              <w:t>.,</w:t>
            </w:r>
            <w:proofErr w:type="gramEnd"/>
            <w:r>
              <w:t xml:space="preserve"> a KELER Zrt. és az MFB Zrt. kivételével a szakosított hitelintézet,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tárgyidőszakot követő hónap utolsó munkanap</w:t>
            </w:r>
          </w:p>
        </w:tc>
      </w:tr>
      <w:tr w:rsidR="008055D2">
        <w:trPr>
          <w:cantSplit/>
          <w:trHeight w:val="753"/>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lastRenderedPageBreak/>
              <w:t>8</w:t>
            </w:r>
          </w:p>
        </w:tc>
        <w:tc>
          <w:tcPr>
            <w:tcW w:w="1132" w:type="dxa"/>
            <w:tcBorders>
              <w:top w:val="nil"/>
              <w:left w:val="single" w:sz="4" w:space="0" w:color="auto"/>
              <w:bottom w:val="single" w:sz="4" w:space="0" w:color="auto"/>
              <w:right w:val="single" w:sz="4" w:space="0" w:color="auto"/>
            </w:tcBorders>
            <w:vAlign w:val="center"/>
          </w:tcPr>
          <w:p w:rsidR="008055D2" w:rsidRDefault="008055D2">
            <w:pPr>
              <w:spacing w:after="0"/>
              <w:ind w:firstLine="0"/>
              <w:jc w:val="center"/>
            </w:pPr>
            <w:bookmarkStart w:id="0" w:name="_GoBack"/>
            <w:bookmarkEnd w:id="0"/>
          </w:p>
        </w:tc>
        <w:tc>
          <w:tcPr>
            <w:tcW w:w="2884" w:type="dxa"/>
            <w:tcBorders>
              <w:top w:val="nil"/>
              <w:left w:val="nil"/>
              <w:bottom w:val="single" w:sz="4" w:space="0" w:color="auto"/>
              <w:right w:val="single" w:sz="4" w:space="0" w:color="auto"/>
            </w:tcBorders>
            <w:vAlign w:val="center"/>
          </w:tcPr>
          <w:p w:rsidR="008055D2" w:rsidRDefault="008055D2">
            <w:pPr>
              <w:spacing w:after="0"/>
              <w:ind w:firstLine="0"/>
              <w:jc w:val="left"/>
            </w:pPr>
          </w:p>
        </w:tc>
        <w:tc>
          <w:tcPr>
            <w:tcW w:w="3274" w:type="dxa"/>
            <w:tcBorders>
              <w:top w:val="nil"/>
              <w:left w:val="nil"/>
              <w:bottom w:val="single" w:sz="4" w:space="0" w:color="auto"/>
              <w:right w:val="single" w:sz="4" w:space="0" w:color="auto"/>
            </w:tcBorders>
            <w:vAlign w:val="center"/>
          </w:tcPr>
          <w:p w:rsidR="008055D2" w:rsidRDefault="008055D2">
            <w:pPr>
              <w:spacing w:after="0"/>
              <w:ind w:firstLine="0"/>
              <w:jc w:val="left"/>
            </w:pPr>
          </w:p>
        </w:tc>
        <w:tc>
          <w:tcPr>
            <w:tcW w:w="1701" w:type="dxa"/>
            <w:tcBorders>
              <w:top w:val="nil"/>
              <w:left w:val="nil"/>
              <w:bottom w:val="single" w:sz="4" w:space="0" w:color="auto"/>
              <w:right w:val="single" w:sz="4" w:space="0" w:color="auto"/>
            </w:tcBorders>
            <w:vAlign w:val="center"/>
          </w:tcPr>
          <w:p w:rsidR="008055D2" w:rsidRDefault="008055D2">
            <w:pPr>
              <w:spacing w:after="0"/>
              <w:ind w:firstLine="0"/>
              <w:jc w:val="center"/>
            </w:pPr>
          </w:p>
        </w:tc>
        <w:tc>
          <w:tcPr>
            <w:tcW w:w="1842" w:type="dxa"/>
            <w:tcBorders>
              <w:top w:val="nil"/>
              <w:left w:val="nil"/>
              <w:bottom w:val="single" w:sz="4" w:space="0" w:color="auto"/>
              <w:right w:val="single" w:sz="4" w:space="0" w:color="auto"/>
            </w:tcBorders>
            <w:vAlign w:val="center"/>
          </w:tcPr>
          <w:p w:rsidR="008055D2" w:rsidRDefault="008055D2">
            <w:pPr>
              <w:spacing w:after="0"/>
              <w:ind w:firstLine="0"/>
              <w:jc w:val="center"/>
            </w:pPr>
          </w:p>
        </w:tc>
        <w:tc>
          <w:tcPr>
            <w:tcW w:w="3686" w:type="dxa"/>
            <w:tcBorders>
              <w:top w:val="nil"/>
              <w:left w:val="nil"/>
              <w:bottom w:val="single" w:sz="4" w:space="0" w:color="auto"/>
              <w:right w:val="single" w:sz="4" w:space="0" w:color="auto"/>
            </w:tcBorders>
            <w:vAlign w:val="center"/>
          </w:tcPr>
          <w:p w:rsidR="008055D2" w:rsidRDefault="008055D2">
            <w:pPr>
              <w:spacing w:after="0"/>
              <w:ind w:firstLine="0"/>
              <w:jc w:val="center"/>
            </w:pPr>
          </w:p>
        </w:tc>
      </w:tr>
      <w:tr w:rsidR="008055D2">
        <w:trPr>
          <w:cantSplit/>
          <w:trHeight w:val="753"/>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9</w:t>
            </w:r>
          </w:p>
        </w:tc>
        <w:tc>
          <w:tcPr>
            <w:tcW w:w="1132" w:type="dxa"/>
            <w:tcBorders>
              <w:top w:val="nil"/>
              <w:left w:val="single" w:sz="4" w:space="0" w:color="auto"/>
              <w:bottom w:val="single" w:sz="4" w:space="0" w:color="auto"/>
              <w:right w:val="single" w:sz="4" w:space="0" w:color="auto"/>
            </w:tcBorders>
            <w:vAlign w:val="center"/>
          </w:tcPr>
          <w:p w:rsidR="008055D2" w:rsidRDefault="008055D2">
            <w:pPr>
              <w:spacing w:after="0"/>
              <w:ind w:firstLine="0"/>
              <w:jc w:val="center"/>
            </w:pPr>
          </w:p>
        </w:tc>
        <w:tc>
          <w:tcPr>
            <w:tcW w:w="2884" w:type="dxa"/>
            <w:tcBorders>
              <w:top w:val="nil"/>
              <w:left w:val="nil"/>
              <w:bottom w:val="single" w:sz="4" w:space="0" w:color="auto"/>
              <w:right w:val="single" w:sz="4" w:space="0" w:color="auto"/>
            </w:tcBorders>
            <w:vAlign w:val="center"/>
          </w:tcPr>
          <w:p w:rsidR="008055D2" w:rsidRDefault="008055D2">
            <w:pPr>
              <w:spacing w:after="0"/>
              <w:ind w:firstLine="0"/>
              <w:jc w:val="left"/>
            </w:pPr>
          </w:p>
        </w:tc>
        <w:tc>
          <w:tcPr>
            <w:tcW w:w="3274" w:type="dxa"/>
            <w:tcBorders>
              <w:top w:val="nil"/>
              <w:left w:val="nil"/>
              <w:bottom w:val="single" w:sz="4" w:space="0" w:color="auto"/>
              <w:right w:val="single" w:sz="4" w:space="0" w:color="auto"/>
            </w:tcBorders>
            <w:vAlign w:val="center"/>
          </w:tcPr>
          <w:p w:rsidR="008055D2" w:rsidRDefault="008055D2">
            <w:pPr>
              <w:spacing w:after="0"/>
              <w:ind w:firstLine="0"/>
              <w:jc w:val="left"/>
            </w:pPr>
          </w:p>
        </w:tc>
        <w:tc>
          <w:tcPr>
            <w:tcW w:w="1701" w:type="dxa"/>
            <w:tcBorders>
              <w:top w:val="nil"/>
              <w:left w:val="nil"/>
              <w:bottom w:val="single" w:sz="4" w:space="0" w:color="auto"/>
              <w:right w:val="single" w:sz="4" w:space="0" w:color="auto"/>
            </w:tcBorders>
            <w:vAlign w:val="center"/>
          </w:tcPr>
          <w:p w:rsidR="008055D2" w:rsidRDefault="008055D2">
            <w:pPr>
              <w:spacing w:after="0"/>
              <w:ind w:firstLine="0"/>
              <w:jc w:val="center"/>
            </w:pPr>
          </w:p>
        </w:tc>
        <w:tc>
          <w:tcPr>
            <w:tcW w:w="1842" w:type="dxa"/>
            <w:tcBorders>
              <w:top w:val="nil"/>
              <w:left w:val="nil"/>
              <w:bottom w:val="single" w:sz="4" w:space="0" w:color="auto"/>
              <w:right w:val="single" w:sz="4" w:space="0" w:color="auto"/>
            </w:tcBorders>
            <w:vAlign w:val="center"/>
          </w:tcPr>
          <w:p w:rsidR="008055D2" w:rsidRDefault="008055D2">
            <w:pPr>
              <w:spacing w:after="0"/>
              <w:ind w:firstLine="0"/>
              <w:jc w:val="center"/>
            </w:pPr>
          </w:p>
        </w:tc>
        <w:tc>
          <w:tcPr>
            <w:tcW w:w="3686" w:type="dxa"/>
            <w:tcBorders>
              <w:top w:val="nil"/>
              <w:left w:val="nil"/>
              <w:bottom w:val="single" w:sz="4" w:space="0" w:color="auto"/>
              <w:right w:val="single" w:sz="4" w:space="0" w:color="auto"/>
            </w:tcBorders>
            <w:vAlign w:val="center"/>
          </w:tcPr>
          <w:p w:rsidR="008055D2" w:rsidRDefault="008055D2">
            <w:pPr>
              <w:spacing w:after="0"/>
              <w:ind w:firstLine="0"/>
              <w:jc w:val="center"/>
            </w:pPr>
          </w:p>
        </w:tc>
      </w:tr>
      <w:tr w:rsidR="008055D2">
        <w:trPr>
          <w:cantSplit/>
          <w:trHeight w:val="753"/>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10</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E04</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Napi jelentés az értékpapír állományokról </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központi értéktári tevékenységet végző szervezet, az ezen típusú </w:t>
            </w:r>
            <w:r>
              <w:br/>
            </w:r>
            <w:proofErr w:type="spellStart"/>
            <w:r>
              <w:t>EGT-fióktelep</w:t>
            </w:r>
            <w:proofErr w:type="spellEnd"/>
            <w:r>
              <w:t xml:space="preserve"> </w:t>
            </w:r>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napi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tárgynapot követő munkanap 9 óra</w:t>
            </w:r>
          </w:p>
        </w:tc>
      </w:tr>
      <w:tr w:rsidR="008055D2">
        <w:trPr>
          <w:cantSplit/>
          <w:trHeight w:val="706"/>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11</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E06</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Az értékpapírszámlákhoz kapcsolódó ügyletek adatai </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központi értéktári tevékenységet végző szervezet, az ezen típusú </w:t>
            </w:r>
            <w:r>
              <w:br/>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napi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tárgynapot követő munkanap 9 óra</w:t>
            </w:r>
          </w:p>
        </w:tc>
      </w:tr>
      <w:tr w:rsidR="008055D2">
        <w:trPr>
          <w:cantSplit/>
          <w:trHeight w:val="689"/>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12</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E14</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Határidős részvényügyletek a BÉT-en </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központi értéktári tevékenységet végző szervezet, az ezen típusú </w:t>
            </w:r>
            <w:r>
              <w:br/>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napi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tőzsdenapot követő munkanap 14 óra</w:t>
            </w:r>
          </w:p>
        </w:tc>
      </w:tr>
      <w:tr w:rsidR="008055D2">
        <w:trPr>
          <w:cantSplit/>
          <w:trHeight w:val="2019"/>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13</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E20</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A letétkezelői tevékenységet végző, hitelintézetnek nem minősülő szervezetek tulajdonában lévő, valamint a náluk letétbe helyezett (rezidensek és nem-rezidensek által kibocsátott) értékpapírok állománya, tulajdonosi bontásban </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befektetési vállalkozás és letétkezelői tevékenységet végző, hitelintézetnek nem minősülő szervezet,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tárgyidőszakot követő hónap 8. munkanap</w:t>
            </w:r>
          </w:p>
        </w:tc>
      </w:tr>
      <w:tr w:rsidR="008055D2">
        <w:trPr>
          <w:cantSplit/>
          <w:trHeight w:val="1448"/>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14</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E21</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A hitelintézetek saját tulajdonában lévő, valamint a náluk letétbe helyezett (rezidensek és nem-rezidensek által kibocsátott) értékpapírok állománya, tulajdonosi bontásban</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bank, szakosított hitelintézet, letétkezelési tevékenységet végző szövetkezeti hitelintézet,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tárgyidőszakot követő hónap 8. munkanap</w:t>
            </w:r>
          </w:p>
        </w:tc>
      </w:tr>
      <w:tr w:rsidR="008055D2">
        <w:trPr>
          <w:cantSplit/>
          <w:trHeight w:val="935"/>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15</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E22</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A hitelintézetek saját tulajdonában lévő értékpapírok állományának havi adatai</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bank, szakosított hitelintézet,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tárgyidőszakot követő hónap 15. munkanap</w:t>
            </w:r>
          </w:p>
        </w:tc>
      </w:tr>
      <w:tr w:rsidR="008055D2">
        <w:trPr>
          <w:cantSplit/>
          <w:trHeight w:val="1235"/>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16</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E23</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A központi értéktárnál vezetett egyesített összevont értékpapírszámlákon és biztosíték értékpapír letéti számlákon lévő értékpapír-állományok</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központi értéktári tevékenységet végző szervezet, az ezen típusú </w:t>
            </w:r>
            <w:r>
              <w:br/>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tárgyidőszakot követő hónap 3. munkanap</w:t>
            </w:r>
          </w:p>
        </w:tc>
      </w:tr>
      <w:tr w:rsidR="008055D2">
        <w:trPr>
          <w:cantSplit/>
          <w:trHeight w:val="981"/>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lastRenderedPageBreak/>
              <w:t>17</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E24</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A hitelintézetek saját tulajdonában lévő értékpapírok állományának napi adatai</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a hitelintézeti csoporthoz tartozó, nem csoportvezető, magyarországi székhelyű bank kivételével a bank, az </w:t>
            </w:r>
            <w:proofErr w:type="gramStart"/>
            <w:r>
              <w:t>ezen</w:t>
            </w:r>
            <w:proofErr w:type="gramEnd"/>
            <w:r>
              <w:t xml:space="preserve"> típusú </w:t>
            </w:r>
            <w:proofErr w:type="spellStart"/>
            <w:r>
              <w:t>EGT-fióktelep</w:t>
            </w:r>
            <w:proofErr w:type="spellEnd"/>
            <w:r>
              <w:t>, valamint a kijelölt szakosított hitelintézet</w:t>
            </w:r>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napi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tárgyidőszakot követő munkanap 14 óra</w:t>
            </w:r>
          </w:p>
        </w:tc>
      </w:tr>
      <w:tr w:rsidR="008055D2">
        <w:trPr>
          <w:cantSplit/>
          <w:trHeight w:val="751"/>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18</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E27</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Értékpapírok központi értéktár által kiadott ISIN kódjai és egyéb alapadatai </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központi értéktári tevékenységet végző szervezet, az ezen típusú </w:t>
            </w:r>
            <w:r>
              <w:br/>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napi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tárgynapot követő munkanap 9 óra</w:t>
            </w:r>
          </w:p>
        </w:tc>
      </w:tr>
      <w:tr w:rsidR="008055D2">
        <w:trPr>
          <w:cantSplit/>
          <w:trHeight w:val="695"/>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19</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E43</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Opciós részvényügyletek a </w:t>
            </w:r>
            <w:r>
              <w:br/>
              <w:t xml:space="preserve">BÉT-en </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központi értéktári tevékenységet végző szervezet, az ezen típusú </w:t>
            </w:r>
            <w:r>
              <w:br/>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napi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tőzsdenapot követő munkanap 14 óra</w:t>
            </w:r>
          </w:p>
        </w:tc>
      </w:tr>
      <w:tr w:rsidR="008055D2">
        <w:trPr>
          <w:cantSplit/>
          <w:trHeight w:val="1116"/>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20</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E45</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A Magyar Államkincstár saját tulajdonában lévő, valamint a nála letétbe helyezett értékpapírok állománya tulajdonosi bontásban</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Magyar Államkincstár (a továbbiakban: MÁK)</w:t>
            </w:r>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tárgyidőszakot követő hónap 8. munkanap</w:t>
            </w:r>
          </w:p>
        </w:tc>
      </w:tr>
      <w:tr w:rsidR="008055D2">
        <w:trPr>
          <w:cantSplit/>
          <w:trHeight w:val="817"/>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21</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E48</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rPr>
                <w:b/>
                <w:bCs/>
              </w:rPr>
            </w:pPr>
            <w:r>
              <w:t xml:space="preserve">A BÉT-es részvények </w:t>
            </w:r>
            <w:proofErr w:type="spellStart"/>
            <w:r>
              <w:t>kapitalizációja</w:t>
            </w:r>
            <w:proofErr w:type="spellEnd"/>
            <w:r>
              <w:t xml:space="preserve"> és forgalma, részvények tőzsdei be- és kivezetése </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pénzügyi eszközök kereskedését lebonyolító tőzsde, az ezen típusú </w:t>
            </w:r>
            <w:proofErr w:type="spellStart"/>
            <w:r>
              <w:t>EGT-fióktelep</w:t>
            </w:r>
            <w:proofErr w:type="spellEnd"/>
            <w:r>
              <w:t xml:space="preserve"> </w:t>
            </w:r>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tárgyidőszakot követő hónap 5. munkanap</w:t>
            </w:r>
          </w:p>
        </w:tc>
      </w:tr>
      <w:tr w:rsidR="008055D2">
        <w:trPr>
          <w:cantSplit/>
          <w:trHeight w:val="909"/>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22</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E50</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Az állampapírok, az államadósság és az állami követelések felhalmozott és eredményszemléletű kamata</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Államadósság Kezelő Központ Zrt. (a továbbiakban: ÁKK Zrt.)</w:t>
            </w:r>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havi, negyedéves</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tárgyidőszakot követő hónap 20. nap</w:t>
            </w:r>
          </w:p>
        </w:tc>
      </w:tr>
      <w:tr w:rsidR="008055D2">
        <w:trPr>
          <w:cantSplit/>
          <w:trHeight w:val="398"/>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23</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E53</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A magyar állam értékpapír-kibocsátásai</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ÁKK Zrt.</w:t>
            </w:r>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heti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tárgyidőszakot követő 2. munkanap 9 óra</w:t>
            </w:r>
          </w:p>
        </w:tc>
      </w:tr>
      <w:tr w:rsidR="008055D2">
        <w:trPr>
          <w:cantSplit/>
          <w:trHeight w:val="765"/>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24</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E58</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A magyar állam által kibocsátott kamatozó értékpapírok cash-flow és kamatadatai</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ÁKK Zrt.</w:t>
            </w:r>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tárgyidőszakot követő hónap 5. munkanap</w:t>
            </w:r>
          </w:p>
        </w:tc>
      </w:tr>
      <w:tr w:rsidR="008055D2">
        <w:trPr>
          <w:cantSplit/>
          <w:trHeight w:val="1324"/>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25</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E60</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Adatszolgáltatás </w:t>
            </w:r>
            <w:proofErr w:type="spellStart"/>
            <w:r>
              <w:t>repótípusú</w:t>
            </w:r>
            <w:proofErr w:type="spellEnd"/>
            <w:r>
              <w:t xml:space="preserve"> és egyéb értékpapír ügyletekről</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bank, szakosított hitelintézet, letétkezelési tevékenységet végző szövetkezeti hitelintézet, befektetési vállalkozás és egyéb szervezet, az </w:t>
            </w:r>
            <w:proofErr w:type="gramStart"/>
            <w:r>
              <w:t>ezen</w:t>
            </w:r>
            <w:proofErr w:type="gramEnd"/>
            <w:r>
              <w:t xml:space="preserve"> típusú </w:t>
            </w:r>
            <w:proofErr w:type="spellStart"/>
            <w:r>
              <w:t>EGT-fióktelep</w:t>
            </w:r>
            <w:proofErr w:type="spellEnd"/>
            <w:r>
              <w:t>, ÁKK Zrt.</w:t>
            </w:r>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tárgyidőszakot követő hónap 5. munkanap</w:t>
            </w:r>
          </w:p>
        </w:tc>
      </w:tr>
      <w:tr w:rsidR="008055D2">
        <w:trPr>
          <w:cantSplit/>
          <w:trHeight w:val="655"/>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26</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E61</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A Magyarországon és külföldön kibocsátott jelzáloglevelek adatai</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jelzálog-hitelintézet,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tárgyidőszakot követő hónap 8. munkanap</w:t>
            </w:r>
          </w:p>
        </w:tc>
      </w:tr>
      <w:tr w:rsidR="008055D2">
        <w:trPr>
          <w:cantSplit/>
          <w:trHeight w:val="1406"/>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lastRenderedPageBreak/>
              <w:t>27</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E62</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Az állampapírnak nem minősülő, Magyarországon és külföldön kibocsátott kötvények adatai</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kötvényt kibocsátó önkormányzat, jogi személyiséggel rendelkező gazdálkodó szervezet, jogi személyiséggel rendelkező külföldi gazdálkodó szervezet magyarországi fióktelepe</w:t>
            </w:r>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tárgyidőszakot követő hónap 8. munkanap</w:t>
            </w:r>
          </w:p>
        </w:tc>
      </w:tr>
      <w:tr w:rsidR="008055D2">
        <w:trPr>
          <w:cantSplit/>
          <w:trHeight w:val="1973"/>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28</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E64</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Hitelintézetek és befektetési szolgáltatást végző szervezetek által kibocsátott, hitelviszonyt megtestesítő értékpapírok adatai, illetve a letétkezelési tevékenységet végző szervezetek tulajdonában lévő és az általuk letétkezelt, hitelviszonyt megtestesítő értékpapírokra vonatkozó ár-információk</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bank, szakosított hitelintézet, letétkezelési tevékenységet végző szövetkezeti hitelintézet, befektetési vállalkozás és egyéb szervezet,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tárgyidőszakot követő hónap 8. munkanap</w:t>
            </w:r>
          </w:p>
        </w:tc>
      </w:tr>
      <w:tr w:rsidR="008055D2">
        <w:trPr>
          <w:cantSplit/>
          <w:trHeight w:val="475"/>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29</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E65</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Napi jelentés </w:t>
            </w:r>
            <w:proofErr w:type="spellStart"/>
            <w:r>
              <w:t>repó</w:t>
            </w:r>
            <w:proofErr w:type="spellEnd"/>
            <w:r>
              <w:t xml:space="preserve"> és </w:t>
            </w:r>
            <w:proofErr w:type="spellStart"/>
            <w:r>
              <w:t>repótípusú</w:t>
            </w:r>
            <w:proofErr w:type="spellEnd"/>
            <w:r>
              <w:t xml:space="preserve"> tranzakciókról</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bank, szakosított hitelintézet,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napi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tárgyidőszakot követő 2. munkanap 14 óra</w:t>
            </w:r>
          </w:p>
        </w:tc>
      </w:tr>
      <w:tr w:rsidR="008055D2">
        <w:trPr>
          <w:cantSplit/>
          <w:trHeight w:val="397"/>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30</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F02</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Biztosítók statisztikai mérlege</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biztosító,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tárgyidőszakot követő hónap 13. munkanap</w:t>
            </w:r>
          </w:p>
        </w:tc>
      </w:tr>
      <w:tr w:rsidR="008055D2">
        <w:trPr>
          <w:cantSplit/>
          <w:trHeight w:val="70"/>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31</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F07</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Befektetési alapok statisztikai mérlege</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proofErr w:type="spellStart"/>
            <w:r>
              <w:t>befektetésialap</w:t>
            </w:r>
            <w:proofErr w:type="spellEnd"/>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tárgyidőszakot követő hónap 6. munkanap</w:t>
            </w:r>
          </w:p>
        </w:tc>
      </w:tr>
      <w:tr w:rsidR="008055D2">
        <w:trPr>
          <w:cantSplit/>
          <w:trHeight w:val="799"/>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32</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F20</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Költségvetési szervek mérlegjelentése alrendszerenként (vagyonmérleg)</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MÁK</w:t>
            </w:r>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a feldolgozást követő munkanap</w:t>
            </w:r>
          </w:p>
        </w:tc>
      </w:tr>
      <w:tr w:rsidR="008055D2">
        <w:trPr>
          <w:cantSplit/>
          <w:trHeight w:val="381"/>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33</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F21</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 xml:space="preserve">Társadalombiztosítási alapok költségvetési jelentése </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MÁK</w:t>
            </w:r>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január – november tekintetében: a tárgyidőszakot követő hónap 28. nap;</w:t>
            </w:r>
          </w:p>
          <w:p w:rsidR="008055D2" w:rsidRDefault="00C01F06">
            <w:pPr>
              <w:spacing w:after="0"/>
              <w:ind w:firstLine="0"/>
              <w:jc w:val="center"/>
            </w:pPr>
            <w:r>
              <w:t>december tekintetében: a tárgyidőszakot követő év február 5-ét követő munkanap</w:t>
            </w:r>
          </w:p>
        </w:tc>
      </w:tr>
      <w:tr w:rsidR="008055D2">
        <w:trPr>
          <w:cantSplit/>
          <w:trHeight w:val="699"/>
        </w:trPr>
        <w:tc>
          <w:tcPr>
            <w:tcW w:w="704"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34</w:t>
            </w:r>
          </w:p>
        </w:tc>
        <w:tc>
          <w:tcPr>
            <w:tcW w:w="1132" w:type="dxa"/>
            <w:tcBorders>
              <w:top w:val="nil"/>
              <w:left w:val="single" w:sz="4" w:space="0" w:color="auto"/>
              <w:bottom w:val="single" w:sz="4" w:space="0" w:color="auto"/>
              <w:right w:val="single" w:sz="4" w:space="0" w:color="auto"/>
            </w:tcBorders>
            <w:vAlign w:val="center"/>
          </w:tcPr>
          <w:p w:rsidR="008055D2" w:rsidRDefault="00C01F06">
            <w:pPr>
              <w:spacing w:after="0"/>
              <w:ind w:firstLine="0"/>
              <w:jc w:val="center"/>
            </w:pPr>
            <w:r>
              <w:t>F28</w:t>
            </w:r>
          </w:p>
        </w:tc>
        <w:tc>
          <w:tcPr>
            <w:tcW w:w="2884" w:type="dxa"/>
            <w:tcBorders>
              <w:top w:val="nil"/>
              <w:left w:val="nil"/>
              <w:bottom w:val="single" w:sz="4" w:space="0" w:color="auto"/>
              <w:right w:val="single" w:sz="4" w:space="0" w:color="auto"/>
            </w:tcBorders>
            <w:vAlign w:val="center"/>
          </w:tcPr>
          <w:p w:rsidR="008055D2" w:rsidRDefault="00C01F06">
            <w:pPr>
              <w:spacing w:after="0"/>
              <w:ind w:firstLine="0"/>
              <w:jc w:val="left"/>
            </w:pPr>
            <w:r>
              <w:t>A helyi önkormányzatok összesített költségvetési jelentése</w:t>
            </w:r>
          </w:p>
        </w:tc>
        <w:tc>
          <w:tcPr>
            <w:tcW w:w="3274" w:type="dxa"/>
            <w:tcBorders>
              <w:top w:val="nil"/>
              <w:left w:val="nil"/>
              <w:bottom w:val="single" w:sz="4" w:space="0" w:color="auto"/>
              <w:right w:val="single" w:sz="4" w:space="0" w:color="auto"/>
            </w:tcBorders>
            <w:vAlign w:val="center"/>
          </w:tcPr>
          <w:p w:rsidR="008055D2" w:rsidRDefault="00C01F06">
            <w:pPr>
              <w:spacing w:after="0"/>
              <w:ind w:firstLine="0"/>
              <w:jc w:val="left"/>
            </w:pPr>
            <w:r>
              <w:t>MÁK</w:t>
            </w:r>
          </w:p>
        </w:tc>
        <w:tc>
          <w:tcPr>
            <w:tcW w:w="1701" w:type="dxa"/>
            <w:tcBorders>
              <w:top w:val="nil"/>
              <w:left w:val="nil"/>
              <w:bottom w:val="single" w:sz="4" w:space="0" w:color="auto"/>
              <w:right w:val="single" w:sz="4" w:space="0" w:color="auto"/>
            </w:tcBorders>
            <w:vAlign w:val="center"/>
          </w:tcPr>
          <w:p w:rsidR="008055D2" w:rsidRDefault="00C01F06">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8055D2" w:rsidRDefault="00C01F06">
            <w:pPr>
              <w:spacing w:after="0"/>
              <w:ind w:firstLine="0"/>
              <w:jc w:val="center"/>
            </w:pPr>
            <w:r>
              <w:t>elektronikus úton</w:t>
            </w:r>
          </w:p>
          <w:p w:rsidR="008055D2" w:rsidRDefault="00C01F06">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8055D2" w:rsidRDefault="00C01F06">
            <w:pPr>
              <w:spacing w:after="0"/>
              <w:ind w:firstLine="0"/>
              <w:jc w:val="center"/>
            </w:pPr>
            <w:r>
              <w:t>a feldolgozást követő munkanap</w:t>
            </w:r>
          </w:p>
        </w:tc>
      </w:tr>
      <w:tr w:rsidR="00332A4D">
        <w:trPr>
          <w:cantSplit/>
          <w:trHeight w:val="685"/>
        </w:trPr>
        <w:tc>
          <w:tcPr>
            <w:tcW w:w="704" w:type="dxa"/>
            <w:tcBorders>
              <w:top w:val="nil"/>
              <w:left w:val="single" w:sz="4" w:space="0" w:color="auto"/>
              <w:bottom w:val="single" w:sz="4" w:space="0" w:color="auto"/>
              <w:right w:val="single" w:sz="4" w:space="0" w:color="auto"/>
            </w:tcBorders>
            <w:vAlign w:val="center"/>
          </w:tcPr>
          <w:p w:rsidR="00332A4D" w:rsidRPr="00390185" w:rsidRDefault="00332A4D" w:rsidP="00D50C5A">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34a</w:t>
            </w:r>
          </w:p>
        </w:tc>
        <w:tc>
          <w:tcPr>
            <w:tcW w:w="1132" w:type="dxa"/>
            <w:tcBorders>
              <w:top w:val="nil"/>
              <w:left w:val="single" w:sz="4" w:space="0" w:color="auto"/>
              <w:bottom w:val="single" w:sz="4" w:space="0" w:color="auto"/>
              <w:right w:val="single" w:sz="4" w:space="0" w:color="auto"/>
            </w:tcBorders>
            <w:vAlign w:val="center"/>
          </w:tcPr>
          <w:p w:rsidR="00332A4D" w:rsidRPr="00390185" w:rsidRDefault="00332A4D" w:rsidP="00D50C5A">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F29</w:t>
            </w:r>
          </w:p>
        </w:tc>
        <w:tc>
          <w:tcPr>
            <w:tcW w:w="2884" w:type="dxa"/>
            <w:tcBorders>
              <w:top w:val="nil"/>
              <w:left w:val="nil"/>
              <w:bottom w:val="single" w:sz="4" w:space="0" w:color="auto"/>
              <w:right w:val="single" w:sz="4" w:space="0" w:color="auto"/>
            </w:tcBorders>
            <w:vAlign w:val="center"/>
          </w:tcPr>
          <w:p w:rsidR="00332A4D" w:rsidRPr="00390185" w:rsidRDefault="00332A4D" w:rsidP="00332A4D">
            <w:pPr>
              <w:spacing w:after="0"/>
              <w:ind w:firstLine="0"/>
              <w:jc w:val="left"/>
            </w:pPr>
            <w:r w:rsidRPr="00390185">
              <w:t>Magyar Államkincstár (központi kezelésű előirányzatok) statisztikai vagyonmérlege</w:t>
            </w:r>
          </w:p>
        </w:tc>
        <w:tc>
          <w:tcPr>
            <w:tcW w:w="3274" w:type="dxa"/>
            <w:tcBorders>
              <w:top w:val="nil"/>
              <w:left w:val="nil"/>
              <w:bottom w:val="single" w:sz="4" w:space="0" w:color="auto"/>
              <w:right w:val="single" w:sz="4" w:space="0" w:color="auto"/>
            </w:tcBorders>
            <w:vAlign w:val="center"/>
          </w:tcPr>
          <w:p w:rsidR="00332A4D" w:rsidRPr="00390185" w:rsidRDefault="00332A4D" w:rsidP="00332A4D">
            <w:pPr>
              <w:spacing w:after="0"/>
              <w:ind w:firstLine="0"/>
              <w:jc w:val="left"/>
            </w:pPr>
            <w:r w:rsidRPr="00390185">
              <w:t>MÁK</w:t>
            </w:r>
          </w:p>
        </w:tc>
        <w:tc>
          <w:tcPr>
            <w:tcW w:w="1701" w:type="dxa"/>
            <w:tcBorders>
              <w:top w:val="nil"/>
              <w:left w:val="nil"/>
              <w:bottom w:val="single" w:sz="4" w:space="0" w:color="auto"/>
              <w:right w:val="single" w:sz="4" w:space="0" w:color="auto"/>
            </w:tcBorders>
            <w:vAlign w:val="center"/>
          </w:tcPr>
          <w:p w:rsidR="00332A4D" w:rsidRPr="00390185" w:rsidRDefault="00332A4D" w:rsidP="00D50C5A">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negyedéves</w:t>
            </w:r>
          </w:p>
        </w:tc>
        <w:tc>
          <w:tcPr>
            <w:tcW w:w="1842" w:type="dxa"/>
            <w:tcBorders>
              <w:top w:val="nil"/>
              <w:left w:val="nil"/>
              <w:bottom w:val="single" w:sz="4" w:space="0" w:color="auto"/>
              <w:right w:val="single" w:sz="4" w:space="0" w:color="auto"/>
            </w:tcBorders>
            <w:vAlign w:val="center"/>
          </w:tcPr>
          <w:p w:rsidR="00332A4D" w:rsidRPr="00390185" w:rsidRDefault="00332A4D" w:rsidP="00D50C5A">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elektronikus úton</w:t>
            </w:r>
          </w:p>
          <w:p w:rsidR="00332A4D" w:rsidRPr="00390185" w:rsidRDefault="00332A4D" w:rsidP="00D50C5A">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(ERA rendszer)</w:t>
            </w:r>
          </w:p>
        </w:tc>
        <w:tc>
          <w:tcPr>
            <w:tcW w:w="3686" w:type="dxa"/>
            <w:tcBorders>
              <w:top w:val="nil"/>
              <w:left w:val="nil"/>
              <w:bottom w:val="single" w:sz="4" w:space="0" w:color="auto"/>
              <w:right w:val="single" w:sz="4" w:space="0" w:color="auto"/>
            </w:tcBorders>
            <w:vAlign w:val="center"/>
          </w:tcPr>
          <w:p w:rsidR="00332A4D" w:rsidRPr="00390185" w:rsidRDefault="00332A4D" w:rsidP="00D50C5A">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tárgyidőszakot követő hónap 30. nap</w:t>
            </w:r>
          </w:p>
        </w:tc>
      </w:tr>
      <w:tr w:rsidR="00332A4D">
        <w:trPr>
          <w:cantSplit/>
          <w:trHeight w:val="685"/>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35</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F32</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A központi költségvetés bruttó adóssága</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ÁKK Zrt.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Height w:val="1265"/>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36</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F39</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Nem monetáris pénzügyi közvetítők statisztikai mérlege</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kijelölt – a 2. melléklet I. </w:t>
            </w:r>
            <w:proofErr w:type="gramStart"/>
            <w:r>
              <w:t>A</w:t>
            </w:r>
            <w:proofErr w:type="gramEnd"/>
            <w:r>
              <w:t>. pontja szerinti D) Egyéb pénzügyi közvetítők, E) Pénzügyi kiegészítő tevékenységet végzők és G) Központi kormányzat szektorába sorolt – gazdasági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egyedi elrendelés alapján,</w:t>
            </w:r>
          </w:p>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30. nap</w:t>
            </w:r>
          </w:p>
        </w:tc>
      </w:tr>
      <w:tr w:rsidR="00332A4D">
        <w:trPr>
          <w:cantSplit/>
          <w:trHeight w:val="683"/>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37</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F57</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A Magyar Államkincstár napi gyorsjelentése és részletező jelentése</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MÁK</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a napi gyorsjelentés tekintetében napi, a részletező jelentés tekintetében 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munkanap 11 óra</w:t>
            </w:r>
          </w:p>
        </w:tc>
      </w:tr>
      <w:tr w:rsidR="00332A4D">
        <w:trPr>
          <w:cantSplit/>
          <w:trHeight w:val="848"/>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38</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left="62" w:hanging="62"/>
              <w:jc w:val="center"/>
            </w:pPr>
            <w:r>
              <w:t>F58</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A Magyar Államkincstár havi jelentése az állami költségvetés alrendszereinek adatairól</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MÁK</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5</w:t>
            </w:r>
            <w:proofErr w:type="gramStart"/>
            <w:r>
              <w:t>.,</w:t>
            </w:r>
            <w:proofErr w:type="gramEnd"/>
            <w:r>
              <w:t xml:space="preserve"> illetve </w:t>
            </w:r>
            <w:r>
              <w:br/>
              <w:t>15. nap</w:t>
            </w:r>
          </w:p>
        </w:tc>
      </w:tr>
      <w:tr w:rsidR="00332A4D">
        <w:trPr>
          <w:cantSplit/>
          <w:trHeight w:val="848"/>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39</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left="62" w:hanging="62"/>
              <w:jc w:val="center"/>
            </w:pPr>
            <w:r>
              <w:t>F59</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A Magyar Államkincstár negyedéves jelentése az értékpapírokhoz kapcsolódó pénzszámlák és a nem költségvetési szervek részére vezetett számlák állományáról</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MÁK</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utolsó munkanap</w:t>
            </w:r>
          </w:p>
        </w:tc>
      </w:tr>
      <w:tr w:rsidR="00332A4D">
        <w:trPr>
          <w:cantSplit/>
          <w:trHeight w:val="705"/>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40</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F68</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Az államháztartás központi alrendszerébe tartozó költségvetési szervek tartozásállománya</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MÁK</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utolsó munkanap</w:t>
            </w:r>
          </w:p>
        </w:tc>
      </w:tr>
      <w:tr w:rsidR="00332A4D">
        <w:trPr>
          <w:cantSplit/>
          <w:trHeight w:val="705"/>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41</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F69</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Nyugdíjban, ellátásban, járadékban, valamint egyéb járandóságban részesülők állománystatisztikai adatai</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MÁK</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utolsó munkanap</w:t>
            </w:r>
          </w:p>
        </w:tc>
      </w:tr>
      <w:tr w:rsidR="00332A4D">
        <w:trPr>
          <w:cantSplit/>
          <w:trHeight w:val="515"/>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42</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F70</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Egészségbiztosítási pénzbeli ellátások adatai</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MÁK</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tárgyidőszakot követő második hónap </w:t>
            </w:r>
            <w:r>
              <w:br/>
              <w:t>20. nap</w:t>
            </w:r>
          </w:p>
        </w:tc>
      </w:tr>
      <w:tr w:rsidR="00332A4D">
        <w:trPr>
          <w:cantSplit/>
          <w:trHeight w:val="705"/>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43</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F94</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Felszámolás vagy végelszámolás alatt álló pénzügyi szervezetek adatai</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Pénzügyi Stabilitási és Felszámoló Nonprofit Kft.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év február 28.</w:t>
            </w:r>
          </w:p>
        </w:tc>
      </w:tr>
      <w:tr w:rsidR="00332A4D">
        <w:trPr>
          <w:cantSplit/>
          <w:trHeight w:val="731"/>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44</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F96</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Éves beszámolót készítő civil szervezetek mérlege és </w:t>
            </w:r>
            <w:proofErr w:type="spellStart"/>
            <w:r>
              <w:t>eredménykimutatása</w:t>
            </w:r>
            <w:proofErr w:type="spellEnd"/>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Országos Bírósági Hivatal</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 (elektronikus adathordozó)</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év július 31.</w:t>
            </w:r>
          </w:p>
        </w:tc>
      </w:tr>
      <w:tr w:rsidR="00332A4D">
        <w:trPr>
          <w:cantSplit/>
          <w:trHeight w:val="839"/>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45</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F97</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Évközi mérlegjelentés</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kijelölt – pénzügyi intézménynek nem minősülő – jogi személy</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egyedi elrendelés alapján, 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30. nap</w:t>
            </w:r>
          </w:p>
        </w:tc>
      </w:tr>
      <w:tr w:rsidR="00332A4D">
        <w:trPr>
          <w:cantSplit/>
          <w:trHeight w:val="696"/>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46</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F98</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Éves beszámolót készítő vállalatok mérlege és </w:t>
            </w:r>
            <w:proofErr w:type="spellStart"/>
            <w:r>
              <w:t>eredménykimutatása</w:t>
            </w:r>
            <w:proofErr w:type="spellEnd"/>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Igazságügyi Minisztérium</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(elektronikus adathordozó)</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évjúlius 31.</w:t>
            </w:r>
          </w:p>
        </w:tc>
      </w:tr>
      <w:tr w:rsidR="00332A4D">
        <w:trPr>
          <w:cantSplit/>
          <w:trHeight w:val="837"/>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47</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F99</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Vagyonkezelő és csoportfinanszírozó tevékenységet végző vállalatok pénzügyi adatai</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kijelölt – a 2. melléklet I. </w:t>
            </w:r>
            <w:proofErr w:type="gramStart"/>
            <w:r>
              <w:t>A</w:t>
            </w:r>
            <w:proofErr w:type="gramEnd"/>
            <w:r>
              <w:t>. pontja szerinti Z) Zártkörű pénzügyi közvetítők szektorába sorolt – gazdasági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egyedi elrendelés alapján,</w:t>
            </w:r>
          </w:p>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30. nap</w:t>
            </w:r>
          </w:p>
        </w:tc>
      </w:tr>
      <w:tr w:rsidR="00332A4D">
        <w:trPr>
          <w:cantSplit/>
          <w:trHeight w:val="679"/>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48</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J01</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Természetes személyek </w:t>
            </w:r>
            <w:proofErr w:type="spellStart"/>
            <w:r>
              <w:t>anonimizált</w:t>
            </w:r>
            <w:proofErr w:type="spellEnd"/>
            <w:r>
              <w:t xml:space="preserve"> jövedelmi és munkatörténeti adatai</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MÁK</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(elektronikus adathordozó)</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év október 31.</w:t>
            </w:r>
          </w:p>
        </w:tc>
      </w:tr>
      <w:tr w:rsidR="00332A4D">
        <w:trPr>
          <w:cantSplit/>
          <w:trHeight w:val="583"/>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49</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K02</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Napi jelentés a bankközi forinthitelek és forintbetétek kamatlábáról </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bank, szakosított hitelintézet, az ezen típusú </w:t>
            </w:r>
            <w:proofErr w:type="spellStart"/>
            <w:r>
              <w:t>EGT-fióktelep</w:t>
            </w:r>
            <w:proofErr w:type="spellEnd"/>
            <w:r>
              <w:t xml:space="preserve"> </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napi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tárgynapot követő munkanap 8:30 óra</w:t>
            </w:r>
          </w:p>
        </w:tc>
      </w:tr>
      <w:tr w:rsidR="00332A4D">
        <w:trPr>
          <w:cantSplit/>
          <w:trHeight w:val="1370"/>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50</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K04</w:t>
            </w:r>
          </w:p>
        </w:tc>
        <w:tc>
          <w:tcPr>
            <w:tcW w:w="2884" w:type="dxa"/>
            <w:tcBorders>
              <w:top w:val="nil"/>
              <w:left w:val="nil"/>
              <w:bottom w:val="single" w:sz="4" w:space="0" w:color="auto"/>
              <w:right w:val="single" w:sz="4" w:space="0" w:color="auto"/>
            </w:tcBorders>
            <w:vAlign w:val="center"/>
          </w:tcPr>
          <w:p w:rsidR="00332A4D" w:rsidRDefault="00332A4D" w:rsidP="00332A4D">
            <w:pPr>
              <w:spacing w:after="0"/>
              <w:ind w:firstLine="0"/>
              <w:jc w:val="left"/>
            </w:pPr>
            <w:r>
              <w:t>Jelentés a mérlegen belüli külföldi bankközi ügyletek kamatlábáról és a mérlegen belüli belföldi bankközi ügyletek kamatlábáról</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bank, szakosított hitelintézet,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rsidP="00332A4D">
            <w:pPr>
              <w:spacing w:after="0"/>
              <w:ind w:firstLine="0"/>
              <w:jc w:val="center"/>
            </w:pPr>
            <w:r>
              <w:t>tárgyidőszakot követő hónap 5. munkanap</w:t>
            </w:r>
          </w:p>
        </w:tc>
      </w:tr>
      <w:tr w:rsidR="00332A4D">
        <w:trPr>
          <w:cantSplit/>
          <w:trHeight w:val="698"/>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51</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K12</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Napi jelentés a bankközi </w:t>
            </w:r>
            <w:proofErr w:type="spellStart"/>
            <w:r>
              <w:t>overnight</w:t>
            </w:r>
            <w:proofErr w:type="spellEnd"/>
            <w:r>
              <w:t xml:space="preserve"> forinthitelek és forintbetétek kamatlábáról </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bank, szakosított hitelintézet,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napi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tárgynapot követő munkanap 8 óra</w:t>
            </w:r>
          </w:p>
        </w:tc>
      </w:tr>
      <w:tr w:rsidR="00332A4D">
        <w:trPr>
          <w:cantSplit/>
          <w:trHeight w:val="583"/>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52</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K14</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Napi jelentés a </w:t>
            </w:r>
            <w:proofErr w:type="spellStart"/>
            <w:r>
              <w:t>kamatderivatíva</w:t>
            </w:r>
            <w:proofErr w:type="spellEnd"/>
            <w:r>
              <w:t xml:space="preserve"> ügyletekre vonatkozóan</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bank, szakosított hitelintézet,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napi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tárgynapot követő munkanap 12 óra</w:t>
            </w:r>
          </w:p>
        </w:tc>
      </w:tr>
      <w:tr w:rsidR="00332A4D">
        <w:trPr>
          <w:cantSplit/>
          <w:trHeight w:val="551"/>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53</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K21</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Jelentés a nem pénzügyi vállalatok egyedi hitelszerződéseiről</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hitelintézet, az ezen típusú </w:t>
            </w:r>
            <w:r>
              <w:br/>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9. munkanap</w:t>
            </w:r>
          </w:p>
        </w:tc>
      </w:tr>
      <w:tr w:rsidR="00332A4D">
        <w:trPr>
          <w:cantSplit/>
          <w:trHeight w:val="904"/>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54</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K23</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Jelentés a háztartások és a háztartásokat segítő nonprofit intézmények egyedi hitelszerződéseiről</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hitelintézet, az ezen típusú </w:t>
            </w:r>
            <w:r>
              <w:br/>
            </w:r>
            <w:proofErr w:type="spellStart"/>
            <w:r>
              <w:t>EGT-fióktelep</w:t>
            </w:r>
            <w:proofErr w:type="spellEnd"/>
            <w:r>
              <w:t xml:space="preserve"> </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9. munkanap</w:t>
            </w:r>
          </w:p>
        </w:tc>
      </w:tr>
      <w:tr w:rsidR="00332A4D">
        <w:trPr>
          <w:cantSplit/>
          <w:trHeight w:val="384"/>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55</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L01</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Nemzetközi tartalékok és devizalikviditás</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MÁK, ÁKK Zrt.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15. nap</w:t>
            </w:r>
          </w:p>
        </w:tc>
      </w:tr>
      <w:tr w:rsidR="00332A4D">
        <w:trPr>
          <w:cantSplit/>
          <w:trHeight w:val="837"/>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56</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L10</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Felvett vállalati és háztartási hitelek adatai</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központi hitelinformációs rendszert (a továbbiakban: KHR) működtető pénzügyi vállalkozás</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 űrlap),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Height w:val="1571"/>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rPr>
                <w:strike/>
                <w:color w:val="800080"/>
              </w:rPr>
            </w:pPr>
            <w:r>
              <w:lastRenderedPageBreak/>
              <w:t>57</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rPr>
                <w:color w:val="800080"/>
              </w:rPr>
            </w:pPr>
            <w:r>
              <w:t>L12</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Heti KHR adatok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proofErr w:type="spellStart"/>
            <w:r>
              <w:t>KHR-t</w:t>
            </w:r>
            <w:proofErr w:type="spellEnd"/>
            <w:r>
              <w:t xml:space="preserve"> működtető pénzügyi vállalkozás</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heti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 űrlap),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tárgyidőszakot követő hét 2. munkanap </w:t>
            </w:r>
            <w:r>
              <w:br/>
              <w:t>10 óra</w:t>
            </w:r>
          </w:p>
        </w:tc>
      </w:tr>
      <w:tr w:rsidR="00332A4D">
        <w:trPr>
          <w:cantSplit/>
          <w:trHeight w:val="1543"/>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58</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L70</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Projektfinanszírozási hitelek, konszolidációs körön kívüli társasággal szembeni, ingatlanfinanszírozáshoz kapcsolódó kitettségek és értékesítési célú ingatlanok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kijelölt bank</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egyedi elrendelés alapján, 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 (ERA rendszer),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első negyedév tekintetében: a tárgyidőszakot követő második hónap </w:t>
            </w:r>
            <w:r>
              <w:br/>
              <w:t>12. nap;</w:t>
            </w:r>
          </w:p>
          <w:p w:rsidR="00332A4D" w:rsidRDefault="00332A4D">
            <w:pPr>
              <w:spacing w:after="0"/>
              <w:ind w:firstLine="0"/>
              <w:jc w:val="center"/>
            </w:pPr>
            <w:r>
              <w:t xml:space="preserve">második – negyedik negyedév tekintetében: a tárgyidőszakot követő második hónap </w:t>
            </w:r>
            <w:r>
              <w:br/>
              <w:t>11. nap;</w:t>
            </w:r>
          </w:p>
        </w:tc>
      </w:tr>
      <w:tr w:rsidR="00332A4D">
        <w:trPr>
          <w:cantSplit/>
          <w:trHeight w:val="1967"/>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59</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L71</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Negyedéves jelentés a kockázattal súlyozott kitettségek megoszlásáról</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hitelintézet, a nem EGT-államban székhellyel rendelkező hitelintézet magyarországi fióktelepeként működő hitelintézet (a továbbiakban: harmadik országbeli hitelintézet fióktelepe) kivételével</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 (ERA rendszer),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első negyedév tekintetében: a tárgyidőszakot követő második hónap 12. nap;</w:t>
            </w:r>
          </w:p>
          <w:p w:rsidR="00332A4D" w:rsidRDefault="00332A4D">
            <w:pPr>
              <w:spacing w:after="0"/>
              <w:ind w:firstLine="0"/>
              <w:jc w:val="center"/>
            </w:pPr>
            <w:r>
              <w:t>második – negyedik negyedév tekintetében: a tárgyidőszakot követő második hónap 11. nap;</w:t>
            </w:r>
          </w:p>
        </w:tc>
      </w:tr>
      <w:tr w:rsidR="00332A4D">
        <w:trPr>
          <w:cantSplit/>
          <w:trHeight w:val="1518"/>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60</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L72</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Negyedéves jelentés a jelzáloghitel-finanszírozás megfelelési mutatóról</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bank, jelzálog-hitelintézet a hitelintézeti csoporthoz tartozó, nem csoportvezető, magyarországi székhelyű bank, jelzálog-hitelintézet kivételével</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 (ERA rendszer),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első negyedév tekintetében: a tárgyidőszakot követő második hónap </w:t>
            </w:r>
            <w:r>
              <w:br/>
              <w:t>12. nap;</w:t>
            </w:r>
          </w:p>
          <w:p w:rsidR="00332A4D" w:rsidRDefault="00332A4D">
            <w:pPr>
              <w:spacing w:after="0"/>
              <w:ind w:firstLine="0"/>
              <w:jc w:val="center"/>
            </w:pPr>
            <w:r>
              <w:t xml:space="preserve">második – negyedik negyedév tekintetében: a tárgyidőszakot követő második hónap </w:t>
            </w:r>
            <w:r>
              <w:br/>
              <w:t>11. nap;</w:t>
            </w:r>
          </w:p>
        </w:tc>
      </w:tr>
      <w:tr w:rsidR="00332A4D">
        <w:trPr>
          <w:cantSplit/>
          <w:trHeight w:val="1555"/>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61</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L73</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Havi jelentés a devizaegyensúly mutatóról</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a hitelintézeti csoporthoz tartozó, nem csoportvezető, magyarországi székhelyű bank, jelzálog-hitelintézet kivételével a bank, jelzálog-hitelintézet, az ezen típusú </w:t>
            </w:r>
            <w:r>
              <w:br/>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 (ERA rendszer),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a naptári negyedév első két hónapja tekintetében: tárgyidőszakot követő hónap 15. munkanap; </w:t>
            </w:r>
            <w:r>
              <w:br/>
              <w:t xml:space="preserve">a naptári negyedév utolsó hónapja tekintetében: első negyedév utolsó hónapja tekintetében a tárgyidőszakot követő második hónap 12. nap; második – negyedik negyedév utolsó hónapja tekintetében a tárgyidőszakot követő második hónap </w:t>
            </w:r>
            <w:r>
              <w:br/>
              <w:t>11. nap;</w:t>
            </w:r>
          </w:p>
        </w:tc>
      </w:tr>
      <w:tr w:rsidR="00332A4D">
        <w:trPr>
          <w:cantSplit/>
          <w:trHeight w:val="1100"/>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62</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L74</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Negyedéves jelentés a bankközi finanszírozási mutatóról</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a hitelintézeti csoporthoz tartozó, nem csoportvezető, magyarországi székhelyű bank, jelzálog-hitelintézet kivételével a bank, jelzálog-hitelintézet, az ezen típusú </w:t>
            </w:r>
            <w:r>
              <w:br/>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 (ERA rendszer),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első negyedév tekintetében a tárgyidőszakot követő második hónap 12. nap;</w:t>
            </w:r>
          </w:p>
          <w:p w:rsidR="00332A4D" w:rsidRDefault="00332A4D">
            <w:pPr>
              <w:spacing w:after="0"/>
              <w:ind w:firstLine="0"/>
              <w:jc w:val="center"/>
            </w:pPr>
            <w:r>
              <w:t>második – negyedik negyedév tekintetében a tárgyidőszakot követő második hónap</w:t>
            </w:r>
            <w:r>
              <w:br/>
              <w:t>11. nap;</w:t>
            </w:r>
          </w:p>
        </w:tc>
      </w:tr>
      <w:tr w:rsidR="00332A4D">
        <w:trPr>
          <w:cantSplit/>
          <w:trHeight w:val="1100"/>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63</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M01</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A hitelintézetek statisztikai mérlege és </w:t>
            </w:r>
            <w:proofErr w:type="spellStart"/>
            <w:r>
              <w:t>eredménykimutatása</w:t>
            </w:r>
            <w:proofErr w:type="spellEnd"/>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hitelintézet, az ezen típusú </w:t>
            </w:r>
            <w:r>
              <w:br/>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r>
              <w:b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a naptári negyedév első két hónapja tekintetében: tárgyidőszakot követő hónap 11. munkanap;</w:t>
            </w:r>
          </w:p>
          <w:p w:rsidR="00332A4D" w:rsidRDefault="00332A4D">
            <w:pPr>
              <w:spacing w:after="0"/>
              <w:ind w:firstLine="0"/>
              <w:jc w:val="center"/>
            </w:pPr>
            <w:r>
              <w:t xml:space="preserve"> a naptári negyedév utolsó hónapja tekintetében előzetes: tárgyidőszakot követő hónap 11. munkanap; végleges: első negyedév utolsó hónapja tekintetében a tárgyidőszakot követő második hónap </w:t>
            </w:r>
            <w:r>
              <w:br/>
              <w:t>12. nap, második – negyedik negyedév utolsó hónapja tekintetében a tárgyidőszakot követő második hónap 11. nap;</w:t>
            </w:r>
          </w:p>
        </w:tc>
      </w:tr>
      <w:tr w:rsidR="00332A4D">
        <w:trPr>
          <w:cantSplit/>
          <w:trHeight w:val="1100"/>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64</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M02</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A hitelintézetek statisztikai mérlegének részletezése – hitelek, hitel jellegű követelések és egyes egyéb eszközök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hitelintézet, az ezen típusú </w:t>
            </w:r>
            <w:r>
              <w:br/>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r>
              <w:b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a naptári negyedév első két hónapja tekintetében: tárgyidőszakot követő hónap 11. munkanap;</w:t>
            </w:r>
          </w:p>
          <w:p w:rsidR="00332A4D" w:rsidRDefault="00332A4D">
            <w:pPr>
              <w:spacing w:after="0"/>
              <w:ind w:firstLine="0"/>
              <w:jc w:val="center"/>
            </w:pPr>
            <w:r>
              <w:t>a naptári negyedév utolsó hónapja tekintetében előzetes: tárgyidőszakot követő hónap 11. munkanap; végleges: első negyedév utolsó hónapja tekintetében a tárgyidőszakot követő második hónap 12. nap, második – negyedik negyedév utolsó hónapja tekintetében a tárgyidőszakot követő második hónap 11. nap;</w:t>
            </w:r>
          </w:p>
        </w:tc>
      </w:tr>
      <w:tr w:rsidR="00332A4D">
        <w:trPr>
          <w:cantSplit/>
          <w:trHeight w:val="212"/>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65</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M03</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A hitelintézetek statisztikai mérlegének részletezése – hitelek, hitel jellegű követelések és egyes egyéb eszközök – nem pénzügyi vállalatok, háztartások és háztartásokat segítő nonprofit intézmények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hitelintézet, az ezen típusú </w:t>
            </w:r>
            <w:r>
              <w:br/>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r>
              <w:b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a naptári negyedév első két hónapja tekintetében: tárgyidőszakot követő hónap 11. munkanap;</w:t>
            </w:r>
          </w:p>
          <w:p w:rsidR="00332A4D" w:rsidRDefault="00332A4D">
            <w:pPr>
              <w:spacing w:after="0"/>
              <w:ind w:firstLine="0"/>
              <w:jc w:val="center"/>
            </w:pPr>
            <w:r>
              <w:t>a naptári negyedév utolsó hónapja tekintetében előzetes: tárgyidőszakot követő hónap 11. munkanap; végleges: első negyedév utolsó hónapja tekintetében a tárgyidőszakot követő második hónap 12. nap, második – negyedik negyedév utolsó hónapja tekintetében a tárgyidőszakot követő második hónap 11. nap;</w:t>
            </w:r>
          </w:p>
        </w:tc>
      </w:tr>
      <w:tr w:rsidR="00332A4D">
        <w:trPr>
          <w:cantSplit/>
          <w:trHeight w:val="1100"/>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66</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M04</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A hitelintézetek statisztikai mérlegének részletezése – betétek, betét jellegű kötelezettségek és egyes egyéb források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hitelintézet, az ezen típusú </w:t>
            </w:r>
            <w:r>
              <w:br/>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r>
              <w:b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a naptári negyedév első két hónapja tekintetében: tárgyidőszakot követő hónap 11. munkanap;</w:t>
            </w:r>
          </w:p>
          <w:p w:rsidR="00332A4D" w:rsidRDefault="00332A4D">
            <w:pPr>
              <w:spacing w:after="0"/>
              <w:ind w:firstLine="0"/>
              <w:jc w:val="center"/>
            </w:pPr>
            <w:r>
              <w:t xml:space="preserve"> a naptári negyedév utolsó hónapja tekintetében előzetes: tárgyidőszakot követő hónap 11. munkanap; végleges: első negyedév utolsó hónapja tekintetében a tárgyidőszakot követő második hónap 12. nap, második – negyedik negyedév utolsó hónapja tekintetében a tárgyidőszakot követő második hónap 11. nap;</w:t>
            </w:r>
          </w:p>
        </w:tc>
      </w:tr>
      <w:tr w:rsidR="00332A4D">
        <w:trPr>
          <w:cantSplit/>
          <w:trHeight w:val="388"/>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67</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M05</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A hitelintézetek statisztikai mérlegének részletezése – </w:t>
            </w:r>
            <w:proofErr w:type="spellStart"/>
            <w:r>
              <w:t>derivatívák</w:t>
            </w:r>
            <w:proofErr w:type="spellEnd"/>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hitelintézet, az ezen típusú </w:t>
            </w:r>
            <w:r>
              <w:br/>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r>
              <w:b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a naptári negyedév első két hónapja tekintetében: tárgyidőszakot követő hónap 11. munkanap;</w:t>
            </w:r>
          </w:p>
          <w:p w:rsidR="00332A4D" w:rsidRDefault="00332A4D">
            <w:pPr>
              <w:spacing w:after="0"/>
              <w:ind w:firstLine="0"/>
              <w:jc w:val="center"/>
            </w:pPr>
            <w:r>
              <w:t>a naptári negyedév utolsó hónapja tekintetében előzetes: tárgyidőszakot követő hónap 11. munkanap; végleges: első negyedév utolsó hónapja tekintetében a tárgyidőszakot követő második hónap 12. nap, második – negyedik negyedév utolsó hónapja tekintetében a tárgyidőszakot követő második hónap 11. nap;</w:t>
            </w:r>
          </w:p>
        </w:tc>
      </w:tr>
      <w:tr w:rsidR="00332A4D">
        <w:trPr>
          <w:cantSplit/>
          <w:trHeight w:val="927"/>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68</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M11</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A hitelintézetek statisztikai mérlege és </w:t>
            </w:r>
            <w:proofErr w:type="spellStart"/>
            <w:r>
              <w:t>eredménykimutatása</w:t>
            </w:r>
            <w:proofErr w:type="spellEnd"/>
            <w:r>
              <w:t xml:space="preserve"> (éves </w:t>
            </w:r>
            <w:proofErr w:type="spellStart"/>
            <w:r>
              <w:t>auditált</w:t>
            </w:r>
            <w:proofErr w:type="spellEnd"/>
            <w:r>
              <w:t xml:space="preserve"> adatok)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hitelintézet, az ezen típusú </w:t>
            </w:r>
            <w:r>
              <w:br/>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r>
              <w:b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záró-közgyűlést követő 15. munkanap, de legkésőbb a tárgyévet követő év május 31.</w:t>
            </w:r>
          </w:p>
        </w:tc>
      </w:tr>
      <w:tr w:rsidR="00332A4D">
        <w:trPr>
          <w:cantSplit/>
          <w:trHeight w:val="403"/>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69</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P03</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Eseti felvigyázói értesítések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központi szerződő fél,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eseti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az eseményt követő munkanap</w:t>
            </w:r>
          </w:p>
        </w:tc>
      </w:tr>
      <w:tr w:rsidR="00332A4D">
        <w:trPr>
          <w:cantSplit/>
          <w:trHeight w:val="1395"/>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70</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P06</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Stressz tesztek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központi szerződő fél,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 és eseti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havi adatszolgáltatás tekintetében: a tárgyidőszakot követő hónap 10. munkanap;</w:t>
            </w:r>
          </w:p>
          <w:p w:rsidR="00332A4D" w:rsidRDefault="00332A4D">
            <w:pPr>
              <w:spacing w:after="0"/>
              <w:ind w:firstLine="0"/>
              <w:jc w:val="center"/>
            </w:pPr>
            <w:r>
              <w:t xml:space="preserve">eseti adatszolgáltatás tekintetében: az MNB felhívásának kézhezvételét követő </w:t>
            </w:r>
            <w:r>
              <w:br/>
              <w:t>3. munkanap;</w:t>
            </w:r>
          </w:p>
        </w:tc>
      </w:tr>
      <w:tr w:rsidR="00332A4D">
        <w:trPr>
          <w:cantSplit/>
          <w:trHeight w:val="698"/>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71</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P11</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Pénzforgalmi infrastruktúrák</w:t>
            </w:r>
          </w:p>
        </w:tc>
        <w:tc>
          <w:tcPr>
            <w:tcW w:w="3274" w:type="dxa"/>
            <w:tcBorders>
              <w:top w:val="nil"/>
              <w:left w:val="nil"/>
              <w:bottom w:val="single" w:sz="4" w:space="0" w:color="auto"/>
              <w:right w:val="single" w:sz="4" w:space="0" w:color="auto"/>
            </w:tcBorders>
            <w:vAlign w:val="center"/>
          </w:tcPr>
          <w:p w:rsidR="00332A4D" w:rsidRPr="00390185" w:rsidRDefault="00332A4D" w:rsidP="00D50C5A">
            <w:pPr>
              <w:pStyle w:val="T9balTablazat"/>
              <w:spacing w:line="240" w:lineRule="auto"/>
              <w:rPr>
                <w:rFonts w:ascii="Times New Roman" w:hAnsi="Times New Roman" w:cs="Times New Roman"/>
                <w:sz w:val="20"/>
              </w:rPr>
            </w:pPr>
            <w:proofErr w:type="gramStart"/>
            <w:r w:rsidRPr="00390185">
              <w:rPr>
                <w:rFonts w:ascii="Times New Roman" w:hAnsi="Times New Roman" w:cs="Times New Roman"/>
                <w:sz w:val="20"/>
              </w:rPr>
              <w:t xml:space="preserve">pénzforgalmi szolgáltató, pénzforgalmi szolgáltatást nem nyújtó elektronikuspénz-kibocsátó intézmény, az ezen típusú </w:t>
            </w:r>
            <w:proofErr w:type="spellStart"/>
            <w:r w:rsidRPr="00390185">
              <w:rPr>
                <w:rFonts w:ascii="Times New Roman" w:hAnsi="Times New Roman" w:cs="Times New Roman"/>
                <w:sz w:val="20"/>
              </w:rPr>
              <w:t>EGT-fióktelepek</w:t>
            </w:r>
            <w:proofErr w:type="spellEnd"/>
            <w:r w:rsidRPr="00390185">
              <w:rPr>
                <w:rFonts w:ascii="Times New Roman" w:hAnsi="Times New Roman" w:cs="Times New Roman"/>
                <w:sz w:val="20"/>
              </w:rPr>
              <w:t>, bankjegykiadó automata (a továbbiakban: ATM) szolgáltatást közvetlenül nyújtó vagy készpénzfelvételi funkcióval rendelkező POS berendezést üzemeltető, pénzforgalmi szolgáltatónak nem minősülő jogi személy, valamint a kijelölt, Magyarország területén határon átnyúló szolgáltatás keretében pénzforgalmi szolgáltatást nyújtó, más EGT-államban székhellyel rendelkező pénzforgalmi szolgáltató és Magyarország területén határon átnyúló szolgáltatás keretében elektronikuspénz-kibocsátási</w:t>
            </w:r>
            <w:proofErr w:type="gramEnd"/>
            <w:r w:rsidRPr="00390185">
              <w:rPr>
                <w:rFonts w:ascii="Times New Roman" w:hAnsi="Times New Roman" w:cs="Times New Roman"/>
                <w:sz w:val="20"/>
              </w:rPr>
              <w:t xml:space="preserve"> tevékenységet végző, pénzforgalmi szolgáltatást nem nyújtó, más EGT-államban székhellyel rendelkező elektronikuspénz-kibocsátó intézmény</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utolsó munkanap</w:t>
            </w:r>
          </w:p>
        </w:tc>
      </w:tr>
      <w:tr w:rsidR="00332A4D" w:rsidTr="00FA673E">
        <w:trPr>
          <w:cantSplit/>
          <w:trHeight w:val="698"/>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72</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P12</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Fizetési forgalomra és visszaélésre vonatkozó adatok</w:t>
            </w:r>
          </w:p>
        </w:tc>
        <w:tc>
          <w:tcPr>
            <w:tcW w:w="3274" w:type="dxa"/>
            <w:tcBorders>
              <w:top w:val="nil"/>
              <w:left w:val="nil"/>
              <w:bottom w:val="single" w:sz="4" w:space="0" w:color="auto"/>
              <w:right w:val="single" w:sz="4" w:space="0" w:color="auto"/>
            </w:tcBorders>
            <w:vAlign w:val="center"/>
          </w:tcPr>
          <w:p w:rsidR="00332A4D" w:rsidRPr="00390185" w:rsidRDefault="00332A4D" w:rsidP="00332A4D">
            <w:pPr>
              <w:pStyle w:val="T9balTablazat"/>
              <w:spacing w:line="240" w:lineRule="auto"/>
              <w:rPr>
                <w:rFonts w:ascii="Times New Roman" w:hAnsi="Times New Roman" w:cs="Times New Roman"/>
                <w:sz w:val="20"/>
              </w:rPr>
            </w:pPr>
            <w:proofErr w:type="gramStart"/>
            <w:r w:rsidRPr="00390185">
              <w:rPr>
                <w:rFonts w:ascii="Times New Roman" w:hAnsi="Times New Roman" w:cs="Times New Roman"/>
                <w:sz w:val="20"/>
              </w:rPr>
              <w:t xml:space="preserve">pénzforgalmi szolgáltató, pénzforgalmi szolgáltatást nem nyújtó elektronikuspénz-kibocsátó intézmény, az ezen típusú </w:t>
            </w:r>
            <w:proofErr w:type="spellStart"/>
            <w:r w:rsidRPr="00390185">
              <w:rPr>
                <w:rFonts w:ascii="Times New Roman" w:hAnsi="Times New Roman" w:cs="Times New Roman"/>
                <w:sz w:val="20"/>
              </w:rPr>
              <w:t>EGT-fióktelepek</w:t>
            </w:r>
            <w:proofErr w:type="spellEnd"/>
            <w:r w:rsidRPr="00390185">
              <w:rPr>
                <w:rFonts w:ascii="Times New Roman" w:hAnsi="Times New Roman" w:cs="Times New Roman"/>
                <w:sz w:val="20"/>
              </w:rPr>
              <w:t>, ATM szolgáltatást közvetlenül nyújtó vagy készpénzfelvételi funkcióval rendelkező POS berendezést üzemeltető, pénzforgalmi szolgáltatónak nem minősülő jogi személy, valamint a kijelölt, Magyarország területén határon átnyúló szolgáltatás keretében pénzforgalmi szolgáltatást nyújtó, más EGT-államban székhellyel rendelkező pénzforgalmi szolgáltató és Magyarország területén határon átnyúló szolgáltatás keretében elektronikuspénz-kibocsátási tevékenységet végző, pénzforgalmi</w:t>
            </w:r>
            <w:proofErr w:type="gramEnd"/>
            <w:r w:rsidRPr="00390185">
              <w:rPr>
                <w:rFonts w:ascii="Times New Roman" w:hAnsi="Times New Roman" w:cs="Times New Roman"/>
                <w:sz w:val="20"/>
              </w:rPr>
              <w:t xml:space="preserve"> szolgáltatást nem nyújtó, más EGT-államban székhellyel rendelkező elektronikuspénz-kibocsátó intézmény</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utolsó munkanap</w:t>
            </w:r>
          </w:p>
        </w:tc>
      </w:tr>
      <w:tr w:rsidR="00332A4D" w:rsidTr="00283A61">
        <w:trPr>
          <w:cantSplit/>
          <w:trHeight w:val="698"/>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73</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P13</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Fizetési kártyás forgalomra vonatkozó adatok</w:t>
            </w:r>
          </w:p>
        </w:tc>
        <w:tc>
          <w:tcPr>
            <w:tcW w:w="3274" w:type="dxa"/>
            <w:tcBorders>
              <w:top w:val="nil"/>
              <w:left w:val="nil"/>
              <w:bottom w:val="single" w:sz="4" w:space="0" w:color="auto"/>
              <w:right w:val="single" w:sz="4" w:space="0" w:color="auto"/>
            </w:tcBorders>
            <w:vAlign w:val="center"/>
          </w:tcPr>
          <w:p w:rsidR="00332A4D" w:rsidRPr="00390185" w:rsidRDefault="00332A4D" w:rsidP="00332A4D">
            <w:pPr>
              <w:pStyle w:val="T9balTablazat"/>
              <w:spacing w:line="240" w:lineRule="auto"/>
              <w:rPr>
                <w:rFonts w:ascii="Times New Roman" w:hAnsi="Times New Roman" w:cs="Times New Roman"/>
                <w:sz w:val="20"/>
              </w:rPr>
            </w:pPr>
            <w:proofErr w:type="gramStart"/>
            <w:r w:rsidRPr="00390185">
              <w:rPr>
                <w:rFonts w:ascii="Times New Roman" w:hAnsi="Times New Roman" w:cs="Times New Roman"/>
                <w:sz w:val="20"/>
              </w:rPr>
              <w:t xml:space="preserve">pénzforgalmi szolgáltató, pénzforgalmi szolgáltatást nem nyújtó elektronikuspénz-kibocsátó intézmény, az ezen típusú </w:t>
            </w:r>
            <w:proofErr w:type="spellStart"/>
            <w:r w:rsidRPr="00390185">
              <w:rPr>
                <w:rFonts w:ascii="Times New Roman" w:hAnsi="Times New Roman" w:cs="Times New Roman"/>
                <w:sz w:val="20"/>
              </w:rPr>
              <w:t>EGT-fióktelepek</w:t>
            </w:r>
            <w:proofErr w:type="spellEnd"/>
            <w:r w:rsidRPr="00390185">
              <w:rPr>
                <w:rFonts w:ascii="Times New Roman" w:hAnsi="Times New Roman" w:cs="Times New Roman"/>
                <w:sz w:val="20"/>
              </w:rPr>
              <w:t>, ATM szolgáltatást közvetlenül nyújtó vagy készpénzfelvételi funkcióval rendelkező POS berendezést üzemeltető, pénzforgalmi szolgáltatónak nem minősülő jogi személy, valamint a kijelölt, Magyarország területén határon átnyúló szolgáltatás keretében pénzforgalmi szolgáltatást nyújtó, más EGT-államban székhellyel rendelkező pénzforgalmi szolgáltató és Magyarország területén határon átnyúló szolgáltatás keretében elektronikuspénz-kibocsátási tevékenységet végző, pénzforgalmi</w:t>
            </w:r>
            <w:proofErr w:type="gramEnd"/>
            <w:r w:rsidRPr="00390185">
              <w:rPr>
                <w:rFonts w:ascii="Times New Roman" w:hAnsi="Times New Roman" w:cs="Times New Roman"/>
                <w:sz w:val="20"/>
              </w:rPr>
              <w:t xml:space="preserve"> szolgáltatást nem nyújtó, más EGT-államban székhellyel rendelkező elektronikuspénz-kibocsátó intézmény</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utolsó munkanap</w:t>
            </w:r>
          </w:p>
        </w:tc>
      </w:tr>
      <w:tr w:rsidR="00332A4D" w:rsidTr="002D44AC">
        <w:trPr>
          <w:cantSplit/>
          <w:trHeight w:val="698"/>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74</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P14</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A fizetési kártya kibocsátói és elfogadói üzletágban felmerült kár, leírt veszteség és visszaélés adatai</w:t>
            </w:r>
          </w:p>
        </w:tc>
        <w:tc>
          <w:tcPr>
            <w:tcW w:w="3274" w:type="dxa"/>
            <w:tcBorders>
              <w:top w:val="nil"/>
              <w:left w:val="nil"/>
              <w:bottom w:val="single" w:sz="4" w:space="0" w:color="auto"/>
              <w:right w:val="single" w:sz="4" w:space="0" w:color="auto"/>
            </w:tcBorders>
            <w:vAlign w:val="center"/>
          </w:tcPr>
          <w:p w:rsidR="00332A4D" w:rsidRPr="00390185" w:rsidRDefault="00332A4D" w:rsidP="00332A4D">
            <w:pPr>
              <w:pStyle w:val="T9balTablazat"/>
              <w:spacing w:line="240" w:lineRule="auto"/>
              <w:rPr>
                <w:rFonts w:ascii="Times New Roman" w:hAnsi="Times New Roman" w:cs="Times New Roman"/>
                <w:sz w:val="20"/>
              </w:rPr>
            </w:pPr>
            <w:proofErr w:type="gramStart"/>
            <w:r w:rsidRPr="00390185">
              <w:rPr>
                <w:rFonts w:ascii="Times New Roman" w:hAnsi="Times New Roman" w:cs="Times New Roman"/>
                <w:sz w:val="20"/>
              </w:rPr>
              <w:t xml:space="preserve">pénzforgalmi szolgáltató, pénzforgalmi szolgáltatást nem nyújtó elektronikuspénz-kibocsátó intézmény, az ezen típusú </w:t>
            </w:r>
            <w:proofErr w:type="spellStart"/>
            <w:r w:rsidRPr="00390185">
              <w:rPr>
                <w:rFonts w:ascii="Times New Roman" w:hAnsi="Times New Roman" w:cs="Times New Roman"/>
                <w:sz w:val="20"/>
              </w:rPr>
              <w:t>EGT-fióktelepek</w:t>
            </w:r>
            <w:proofErr w:type="spellEnd"/>
            <w:r w:rsidRPr="00390185">
              <w:rPr>
                <w:rFonts w:ascii="Times New Roman" w:hAnsi="Times New Roman" w:cs="Times New Roman"/>
                <w:sz w:val="20"/>
              </w:rPr>
              <w:t>, ATM szolgáltatást közvetlenül nyújtó vagy készpénzfelvételi funkcióval rendelkező POS berendezést üzemeltető, pénzforgalmi szolgáltatónak nem minősülő jogi személy, valamint a kijelölt, Magyarország területén határon átnyúló szolgáltatás keretében pénzforgalmi szolgáltatást nyújtó, más EGT-államban székhellyel rendelkező pénzforgalmi szolgáltató és Magyarország területén határon átnyúló szolgáltatás keretében elektronikuspénz-kibocsátási tevékenységet végző, pénzforgalmi</w:t>
            </w:r>
            <w:proofErr w:type="gramEnd"/>
            <w:r w:rsidRPr="00390185">
              <w:rPr>
                <w:rFonts w:ascii="Times New Roman" w:hAnsi="Times New Roman" w:cs="Times New Roman"/>
                <w:sz w:val="20"/>
              </w:rPr>
              <w:t xml:space="preserve"> szolgáltatást nem nyújtó, más EGT-államban székhellyel rendelkező elektronikuspénz-kibocsátó intézmény</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utolsó munkanap</w:t>
            </w:r>
          </w:p>
        </w:tc>
      </w:tr>
      <w:tr w:rsidR="00332A4D" w:rsidTr="004515D7">
        <w:trPr>
          <w:cantSplit/>
          <w:trHeight w:val="698"/>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75</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P15</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Elektronikus pénz – forgalmi és a visszaélésekre vonatkozó adatok</w:t>
            </w:r>
          </w:p>
        </w:tc>
        <w:tc>
          <w:tcPr>
            <w:tcW w:w="3274" w:type="dxa"/>
            <w:tcBorders>
              <w:top w:val="nil"/>
              <w:left w:val="nil"/>
              <w:bottom w:val="single" w:sz="4" w:space="0" w:color="auto"/>
              <w:right w:val="single" w:sz="4" w:space="0" w:color="auto"/>
            </w:tcBorders>
            <w:vAlign w:val="center"/>
          </w:tcPr>
          <w:p w:rsidR="00332A4D" w:rsidRPr="00390185" w:rsidRDefault="00332A4D" w:rsidP="00332A4D">
            <w:pPr>
              <w:pStyle w:val="T9balTablazat"/>
              <w:spacing w:line="240" w:lineRule="auto"/>
              <w:rPr>
                <w:rFonts w:ascii="Times New Roman" w:hAnsi="Times New Roman" w:cs="Times New Roman"/>
                <w:sz w:val="20"/>
              </w:rPr>
            </w:pPr>
            <w:proofErr w:type="gramStart"/>
            <w:r w:rsidRPr="00390185">
              <w:rPr>
                <w:rFonts w:ascii="Times New Roman" w:hAnsi="Times New Roman" w:cs="Times New Roman"/>
                <w:sz w:val="20"/>
              </w:rPr>
              <w:t xml:space="preserve">pénzforgalmi szolgáltató, pénzforgalmi szolgáltatást nem nyújtó elektronikuspénz-kibocsátó intézmény, az ezen típusú </w:t>
            </w:r>
            <w:proofErr w:type="spellStart"/>
            <w:r w:rsidRPr="00390185">
              <w:rPr>
                <w:rFonts w:ascii="Times New Roman" w:hAnsi="Times New Roman" w:cs="Times New Roman"/>
                <w:sz w:val="20"/>
              </w:rPr>
              <w:t>EGT-fióktelepek</w:t>
            </w:r>
            <w:proofErr w:type="spellEnd"/>
            <w:r w:rsidRPr="00390185">
              <w:rPr>
                <w:rFonts w:ascii="Times New Roman" w:hAnsi="Times New Roman" w:cs="Times New Roman"/>
                <w:sz w:val="20"/>
              </w:rPr>
              <w:t>, ATM szolgáltatást közvetlenül nyújtó vagy készpénzfelvételi funkcióval rendelkező POS berendezést üzemeltető, pénzforgalmi szolgáltatónak nem minősülő jogi személy, valamint a kijelölt, Magyarország területén határon átnyúló szolgáltatás keretében pénzforgalmi szolgáltatást nyújtó, más EGT-államban székhellyel rendelkező pénzforgalmi szolgáltató és Magyarország területén határon átnyúló szolgáltatás keretében elektronikuspénz-kibocsátási tevékenységet végző, pénzforgalmi</w:t>
            </w:r>
            <w:proofErr w:type="gramEnd"/>
            <w:r w:rsidRPr="00390185">
              <w:rPr>
                <w:rFonts w:ascii="Times New Roman" w:hAnsi="Times New Roman" w:cs="Times New Roman"/>
                <w:sz w:val="20"/>
              </w:rPr>
              <w:t xml:space="preserve"> szolgáltatást nem nyújtó, más EGT-államban székhellyel rendelkező elektronikuspénz-kibocsátó intézmény</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utolsó munkanap</w:t>
            </w:r>
          </w:p>
        </w:tc>
      </w:tr>
      <w:tr w:rsidR="00332A4D">
        <w:trPr>
          <w:cantSplit/>
          <w:trHeight w:val="698"/>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76</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P23</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Kimutatás a helyi bankjegyfeldolgozásról és bankjegyforgalmazásról</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bank,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Height w:val="765"/>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77</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P26</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Kimutatás a pénzfeldolgozási tevékenységről</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pénzfeldolgozási tevékenység végzésére vonatkozó engedéllyel rendelkező szervezet és kijelölt hitelintézet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Height w:val="1093"/>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78</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P37</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Havi jelentés a levelezőbanknál számlát vezető levelezett hitelintézetek pénzforgalmi (elszámolási) számla egyenlegéről</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hitelintézetek számára a kötelezőtartalék-kötelezettség teljesítéséhez forint pénzforgalmi számlát vezető hitelintézet, az ezen típusú </w:t>
            </w:r>
            <w:proofErr w:type="spellStart"/>
            <w:r>
              <w:t>EGT-fióktelep</w:t>
            </w:r>
            <w:proofErr w:type="spellEnd"/>
            <w:r>
              <w:t xml:space="preserve">  </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 munkanap 10 óra</w:t>
            </w:r>
          </w:p>
        </w:tc>
      </w:tr>
      <w:tr w:rsidR="00332A4D">
        <w:trPr>
          <w:cantSplit/>
          <w:trHeight w:val="475"/>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79</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P38</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Csoportos beszedéshez kapcsolódó felhatalmazások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fizetési rendszer működtetését végző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5. munkanap</w:t>
            </w:r>
          </w:p>
        </w:tc>
      </w:tr>
      <w:tr w:rsidR="00332A4D">
        <w:trPr>
          <w:cantSplit/>
          <w:trHeight w:val="435"/>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80</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P39</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Fizetési rendszer statisztikák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fizetési rendszer működtetését végző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Height w:val="1292"/>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81</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P41</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Felvigyázói statisztikák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központi értéktári tevékenységet végző szervezet, központi szerződő fél,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Height w:val="640"/>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82</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P44</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Értékpapír-elszámolási rendszer statisztikák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központi értéktári tevékenységet végző szervezet, az ezen típusú </w:t>
            </w:r>
            <w:r>
              <w:br/>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év február 28.</w:t>
            </w:r>
          </w:p>
        </w:tc>
      </w:tr>
      <w:tr w:rsidR="00332A4D">
        <w:trPr>
          <w:cantSplit/>
          <w:trHeight w:val="439"/>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83</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P46</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Adatszolgáltatás a mobiltelefonos vásárlásokról</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mobiltelefon szolgáltató</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utolsó munkanap</w:t>
            </w:r>
          </w:p>
        </w:tc>
      </w:tr>
      <w:tr w:rsidR="00332A4D">
        <w:trPr>
          <w:cantSplit/>
          <w:trHeight w:val="423"/>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84</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P47</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Postai fizetési forgalom</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Posta Elszámoló Központot működtető intézmény  </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utolsó munkanap</w:t>
            </w:r>
          </w:p>
        </w:tc>
      </w:tr>
      <w:tr w:rsidR="00332A4D">
        <w:trPr>
          <w:cantSplit/>
          <w:trHeight w:val="1020"/>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85</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P48</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proofErr w:type="spellStart"/>
            <w:r>
              <w:t>Készpénzátutalási</w:t>
            </w:r>
            <w:proofErr w:type="spellEnd"/>
            <w:r>
              <w:t xml:space="preserve"> forgalom</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a </w:t>
            </w:r>
            <w:proofErr w:type="spellStart"/>
            <w:r>
              <w:t>készpénzátutalási</w:t>
            </w:r>
            <w:proofErr w:type="spellEnd"/>
            <w:r>
              <w:t xml:space="preserve"> rendszerhez közvetlenül csatlakozott pénzforgalmi szolgáltató, a készpénzátutalást határon átnyúló szolgáltatásként végző külföldi intézmény magyarországi közvetítője</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utolsó munkanap</w:t>
            </w:r>
          </w:p>
        </w:tc>
      </w:tr>
      <w:tr w:rsidR="00332A4D">
        <w:trPr>
          <w:cantSplit/>
          <w:trHeight w:val="1354"/>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86</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P49</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Központi szerződő fél statisztikák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központi szerződő fél, központi szerződő fél által garantált ügyletek elszámolását végző, központi értéktári tevékenységet végző szervezet,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év február 28.</w:t>
            </w:r>
          </w:p>
        </w:tc>
      </w:tr>
      <w:tr w:rsidR="00332A4D">
        <w:trPr>
          <w:cantSplit/>
          <w:trHeight w:val="1142"/>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87</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P50</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A pénzfeldolgozási tevékenységgel összefüggő egyéb információk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pénzfeldolgozási tevékenység végzésére vonatkozó engedéllyel rendelkező szervezet és kijelölt hitelintézet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év január 31.</w:t>
            </w:r>
          </w:p>
        </w:tc>
      </w:tr>
      <w:tr w:rsidR="00332A4D">
        <w:trPr>
          <w:cantSplit/>
          <w:trHeight w:val="1279"/>
        </w:trPr>
        <w:tc>
          <w:tcPr>
            <w:tcW w:w="704" w:type="dxa"/>
            <w:tcBorders>
              <w:top w:val="nil"/>
              <w:left w:val="single" w:sz="4" w:space="0" w:color="auto"/>
              <w:bottom w:val="single" w:sz="4" w:space="0" w:color="auto"/>
              <w:right w:val="single" w:sz="4" w:space="0" w:color="auto"/>
            </w:tcBorders>
            <w:vAlign w:val="center"/>
          </w:tcPr>
          <w:p w:rsidR="00332A4D" w:rsidRPr="00390185" w:rsidRDefault="00332A4D" w:rsidP="00D50C5A">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88</w:t>
            </w:r>
          </w:p>
        </w:tc>
        <w:tc>
          <w:tcPr>
            <w:tcW w:w="1132" w:type="dxa"/>
            <w:tcBorders>
              <w:top w:val="nil"/>
              <w:left w:val="single" w:sz="4" w:space="0" w:color="auto"/>
              <w:bottom w:val="single" w:sz="4" w:space="0" w:color="auto"/>
              <w:right w:val="single" w:sz="4" w:space="0" w:color="auto"/>
            </w:tcBorders>
            <w:vAlign w:val="center"/>
          </w:tcPr>
          <w:p w:rsidR="00332A4D" w:rsidRPr="00390185" w:rsidRDefault="00332A4D" w:rsidP="00D50C5A">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P51</w:t>
            </w:r>
          </w:p>
        </w:tc>
        <w:tc>
          <w:tcPr>
            <w:tcW w:w="2884" w:type="dxa"/>
            <w:tcBorders>
              <w:top w:val="nil"/>
              <w:left w:val="nil"/>
              <w:bottom w:val="single" w:sz="4" w:space="0" w:color="auto"/>
              <w:right w:val="single" w:sz="4" w:space="0" w:color="auto"/>
            </w:tcBorders>
            <w:vAlign w:val="center"/>
          </w:tcPr>
          <w:p w:rsidR="00332A4D" w:rsidRPr="00390185" w:rsidRDefault="00332A4D" w:rsidP="00D50C5A">
            <w:pPr>
              <w:pStyle w:val="T9balTablazat"/>
              <w:spacing w:line="240" w:lineRule="auto"/>
              <w:rPr>
                <w:rFonts w:ascii="Times New Roman" w:hAnsi="Times New Roman" w:cs="Times New Roman"/>
                <w:sz w:val="20"/>
              </w:rPr>
            </w:pPr>
            <w:r w:rsidRPr="00390185">
              <w:rPr>
                <w:rFonts w:ascii="Times New Roman" w:hAnsi="Times New Roman" w:cs="Times New Roman"/>
                <w:sz w:val="20"/>
              </w:rPr>
              <w:t>Napi valutaforgalmi jelentés</w:t>
            </w:r>
          </w:p>
        </w:tc>
        <w:tc>
          <w:tcPr>
            <w:tcW w:w="3274" w:type="dxa"/>
            <w:tcBorders>
              <w:top w:val="nil"/>
              <w:left w:val="nil"/>
              <w:bottom w:val="single" w:sz="4" w:space="0" w:color="auto"/>
              <w:right w:val="single" w:sz="4" w:space="0" w:color="auto"/>
            </w:tcBorders>
            <w:vAlign w:val="center"/>
          </w:tcPr>
          <w:p w:rsidR="00332A4D" w:rsidRPr="00390185" w:rsidRDefault="00332A4D" w:rsidP="00332A4D">
            <w:pPr>
              <w:spacing w:after="0"/>
              <w:ind w:firstLine="0"/>
              <w:jc w:val="left"/>
            </w:pPr>
            <w:r w:rsidRPr="00390185">
              <w:t xml:space="preserve">bank, az ezen típusú </w:t>
            </w:r>
            <w:proofErr w:type="spellStart"/>
            <w:r w:rsidRPr="00390185">
              <w:t>EGT-fióktelep</w:t>
            </w:r>
            <w:proofErr w:type="spellEnd"/>
          </w:p>
        </w:tc>
        <w:tc>
          <w:tcPr>
            <w:tcW w:w="1701" w:type="dxa"/>
            <w:tcBorders>
              <w:top w:val="nil"/>
              <w:left w:val="nil"/>
              <w:bottom w:val="single" w:sz="4" w:space="0" w:color="auto"/>
              <w:right w:val="single" w:sz="4" w:space="0" w:color="auto"/>
            </w:tcBorders>
            <w:vAlign w:val="center"/>
          </w:tcPr>
          <w:p w:rsidR="00332A4D" w:rsidRPr="00390185" w:rsidRDefault="00332A4D" w:rsidP="00D50C5A">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napi</w:t>
            </w:r>
          </w:p>
        </w:tc>
        <w:tc>
          <w:tcPr>
            <w:tcW w:w="1842" w:type="dxa"/>
            <w:tcBorders>
              <w:top w:val="nil"/>
              <w:left w:val="nil"/>
              <w:bottom w:val="single" w:sz="4" w:space="0" w:color="auto"/>
              <w:right w:val="single" w:sz="4" w:space="0" w:color="auto"/>
            </w:tcBorders>
            <w:vAlign w:val="center"/>
          </w:tcPr>
          <w:p w:rsidR="00332A4D" w:rsidRPr="00390185" w:rsidRDefault="00332A4D" w:rsidP="00D50C5A">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elektronikus úton</w:t>
            </w:r>
          </w:p>
          <w:p w:rsidR="00332A4D" w:rsidRPr="00390185" w:rsidRDefault="00332A4D" w:rsidP="00D50C5A">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(ERA rendszer)</w:t>
            </w:r>
          </w:p>
        </w:tc>
        <w:tc>
          <w:tcPr>
            <w:tcW w:w="3686" w:type="dxa"/>
            <w:tcBorders>
              <w:top w:val="nil"/>
              <w:left w:val="nil"/>
              <w:bottom w:val="single" w:sz="4" w:space="0" w:color="auto"/>
              <w:right w:val="single" w:sz="4" w:space="0" w:color="auto"/>
            </w:tcBorders>
            <w:vAlign w:val="center"/>
          </w:tcPr>
          <w:p w:rsidR="00332A4D" w:rsidRPr="00390185" w:rsidRDefault="00332A4D" w:rsidP="00D50C5A">
            <w:pPr>
              <w:pStyle w:val="T9balTablazat"/>
              <w:spacing w:line="240" w:lineRule="auto"/>
              <w:jc w:val="center"/>
              <w:rPr>
                <w:rFonts w:ascii="Times New Roman" w:hAnsi="Times New Roman" w:cs="Times New Roman"/>
                <w:sz w:val="20"/>
              </w:rPr>
            </w:pPr>
            <w:r w:rsidRPr="00390185">
              <w:rPr>
                <w:rFonts w:ascii="Times New Roman" w:hAnsi="Times New Roman" w:cs="Times New Roman"/>
                <w:sz w:val="20"/>
              </w:rPr>
              <w:t>a tárgynapot követő második munkanap 8 óra</w:t>
            </w:r>
          </w:p>
        </w:tc>
      </w:tr>
      <w:tr w:rsidR="00332A4D">
        <w:trPr>
          <w:cantSplit/>
          <w:trHeight w:val="589"/>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89</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P53</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Jelentés a forintbankjegy-kereskedelemről</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hitelintézet, az </w:t>
            </w:r>
            <w:proofErr w:type="gramStart"/>
            <w:r>
              <w:t>ezen</w:t>
            </w:r>
            <w:proofErr w:type="gramEnd"/>
            <w:r>
              <w:t xml:space="preserve"> típusú </w:t>
            </w:r>
            <w:r>
              <w:br/>
            </w:r>
            <w:proofErr w:type="spellStart"/>
            <w:r>
              <w:t>EGT-fióktelep</w:t>
            </w:r>
            <w:proofErr w:type="spellEnd"/>
            <w:r>
              <w:t>, Magyar Posta Zrt. (a továbbiakban: Magyar Posta)</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5. munkanap</w:t>
            </w:r>
          </w:p>
        </w:tc>
      </w:tr>
      <w:tr w:rsidR="00332A4D">
        <w:trPr>
          <w:cantSplit/>
          <w:trHeight w:val="592"/>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90</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P54</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Jelentés a kibocsátott forgatható utalványokról</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kiegészítő pénzügyi szolgáltatásként forgatható utalványt kibocsátó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a tárgyidőszakot követő hónap </w:t>
            </w:r>
            <w:r>
              <w:br/>
              <w:t>20. munkanap</w:t>
            </w:r>
          </w:p>
        </w:tc>
      </w:tr>
      <w:tr w:rsidR="00332A4D">
        <w:trPr>
          <w:cantSplit/>
          <w:trHeight w:val="1833"/>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91</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P56</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Pénzforgalmat bonyolító hálózati egységek és </w:t>
            </w:r>
            <w:proofErr w:type="spellStart"/>
            <w:r>
              <w:t>ATM-ek</w:t>
            </w:r>
            <w:proofErr w:type="spellEnd"/>
            <w:r>
              <w:t xml:space="preserve"> elhelyezkedésére, valamint a nyújtott szolgáltatásokra vonatkozó adatok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hitelintézet, készpénz-helyettesítő fizetési eszköz kibocsátását vagy elfogadását végző egyéb pénzforgalmi szolgáltató, az </w:t>
            </w:r>
            <w:proofErr w:type="gramStart"/>
            <w:r>
              <w:t>ezen</w:t>
            </w:r>
            <w:proofErr w:type="gramEnd"/>
            <w:r>
              <w:t xml:space="preserve"> típusú </w:t>
            </w:r>
            <w:r>
              <w:br/>
            </w:r>
            <w:proofErr w:type="spellStart"/>
            <w:r>
              <w:t>EGT-fióktelep</w:t>
            </w:r>
            <w:proofErr w:type="spellEnd"/>
            <w:r>
              <w:t xml:space="preserve">, ATM szolgáltatást közvetlenül nyújtó, pénzforgalmi </w:t>
            </w:r>
            <w:proofErr w:type="spellStart"/>
            <w:r>
              <w:t>szolgálatónak</w:t>
            </w:r>
            <w:proofErr w:type="spellEnd"/>
            <w:r>
              <w:t xml:space="preserve"> nem minősülő jogi személy</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eseti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 űrlap),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változás esetén, a változás időpontját megelőző munkanap</w:t>
            </w:r>
          </w:p>
        </w:tc>
      </w:tr>
      <w:tr w:rsidR="00332A4D">
        <w:trPr>
          <w:cantSplit/>
          <w:trHeight w:val="459"/>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92</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P57</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BKR forgalom tranzakció szintű adatai</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fizetési rendszer működtetését végző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heti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 (</w:t>
            </w:r>
            <w:proofErr w:type="spellStart"/>
            <w:r>
              <w:t>GiroHálóMail</w:t>
            </w:r>
            <w:proofErr w:type="spellEnd"/>
            <w:r>
              <w:t>)</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a tárgyhét utolsó munkanapját követő </w:t>
            </w:r>
            <w:r>
              <w:br/>
              <w:t>5. munkanap</w:t>
            </w:r>
          </w:p>
        </w:tc>
      </w:tr>
      <w:tr w:rsidR="00332A4D">
        <w:trPr>
          <w:cantSplit/>
          <w:trHeight w:val="668"/>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93</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P58</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Eseti nyilatkozat pénzforgalmi szolgáltatást érintő üzemzavarról</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pénzforgalmi szolgáltató,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eseti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az esemény kivizsgálását követő </w:t>
            </w:r>
            <w:r>
              <w:br/>
              <w:t>5. munkanap, de legkésőbb az eseményt követő 20. munkanap</w:t>
            </w:r>
          </w:p>
        </w:tc>
      </w:tr>
      <w:tr w:rsidR="00332A4D">
        <w:trPr>
          <w:cantSplit/>
          <w:trHeight w:val="853"/>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94</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P59</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Negyedéves nyilatkozat a P58 MNB azonosító kódú adatszolgáltatásban jelentett üzemzavarokról</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pénzforgalmi szolgáltató,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a tárgyidőszakot követő hónap </w:t>
            </w:r>
            <w:r>
              <w:br/>
              <w:t>10. munkanap</w:t>
            </w:r>
          </w:p>
        </w:tc>
      </w:tr>
      <w:tr w:rsidR="00332A4D">
        <w:trPr>
          <w:cantSplit/>
          <w:trHeight w:val="469"/>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95</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P60</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Központi szerződő fél statisztikák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központi szerződő fél,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napi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tárgynapot követő munkanap 12 óra</w:t>
            </w:r>
          </w:p>
        </w:tc>
      </w:tr>
      <w:tr w:rsidR="00332A4D">
        <w:trPr>
          <w:cantSplit/>
          <w:trHeight w:val="541"/>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96</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P61</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Bankváltás statisztika</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fizetési rendszer működtetését végző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a tárgyidőszakot követő hónap </w:t>
            </w:r>
            <w:r>
              <w:br/>
              <w:t>10. munkanap</w:t>
            </w:r>
          </w:p>
        </w:tc>
      </w:tr>
      <w:tr w:rsidR="00332A4D">
        <w:trPr>
          <w:cantSplit/>
          <w:trHeight w:val="844"/>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97</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P64</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Pénzforgalmi szolgáltatói tájékoztatás súlyosabb működési, biztonsági eseményről</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pénzforgalmi szolgáltató,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eseti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 űrlap), fokozott biztonságú vagy minősített elektronikus aláírással ellátva, és a kezdeti jelentés tekintetében titkosított elektronikus levél</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kezdeti jelentés: a minősítést követő 4 órán belül;</w:t>
            </w:r>
            <w:r>
              <w:br/>
            </w:r>
          </w:p>
          <w:p w:rsidR="00332A4D" w:rsidRDefault="00332A4D">
            <w:pPr>
              <w:spacing w:after="0"/>
              <w:ind w:firstLine="0"/>
              <w:jc w:val="center"/>
            </w:pPr>
            <w:r>
              <w:t>időközi jelentés: a kitöltési előírások eltérő rendelkezése hiányában a kezdeti jelentés beküldését követő 3 munkanapon belül;</w:t>
            </w:r>
            <w:r>
              <w:br/>
            </w:r>
          </w:p>
          <w:p w:rsidR="00332A4D" w:rsidRDefault="00332A4D">
            <w:pPr>
              <w:spacing w:after="0"/>
              <w:ind w:firstLine="0"/>
              <w:jc w:val="center"/>
            </w:pPr>
            <w:r>
              <w:t>záró jelentés: a kitöltési előírások eltérő rendelkezése hiányában a működés szokásos szintjének helyreállítását követő 20 munkanapon belül, visszaminősítés esetén a visszaminősítést követő 1 órán belül;</w:t>
            </w:r>
            <w:r>
              <w:br/>
            </w:r>
          </w:p>
          <w:p w:rsidR="00332A4D" w:rsidRDefault="00332A4D">
            <w:pPr>
              <w:spacing w:after="0"/>
              <w:ind w:firstLine="0"/>
              <w:jc w:val="center"/>
            </w:pPr>
            <w:r>
              <w:t>eseti kiértékelés: az MNB felhívását követő 20 munkanapon belül;</w:t>
            </w:r>
          </w:p>
        </w:tc>
      </w:tr>
      <w:tr w:rsidR="00332A4D">
        <w:trPr>
          <w:cantSplit/>
          <w:trHeight w:val="703"/>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98</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P65</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Meg nem térített fizetési műveletek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számlavezető pénzforgalmi szolgáltató,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eseti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az ügyfél bejelentését követő munkanap</w:t>
            </w:r>
          </w:p>
        </w:tc>
      </w:tr>
      <w:tr w:rsidR="00332A4D">
        <w:trPr>
          <w:cantSplit/>
          <w:trHeight w:val="697"/>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99</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P66</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Fizetési számlához való hozzáférés megtagadása</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számlavezető pénzforgalmi szolgáltató,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eseti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tárgynapot követő munkanap</w:t>
            </w:r>
          </w:p>
        </w:tc>
      </w:tr>
      <w:tr w:rsidR="00332A4D">
        <w:trPr>
          <w:cantSplit/>
          <w:trHeight w:val="1548"/>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100</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P67</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Lényegi fontosság meghatározása</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központi értéktári tevékenységet végző szervezet, az ezen típusú </w:t>
            </w:r>
            <w:r>
              <w:br/>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 (ERA rendszer, űrlap),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év január 31.</w:t>
            </w:r>
          </w:p>
        </w:tc>
      </w:tr>
      <w:tr w:rsidR="00332A4D">
        <w:trPr>
          <w:cantSplit/>
          <w:trHeight w:val="1406"/>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101</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P68</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Leginkább releváns pénznemek meghatározása</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központi értéktári tevékenységet végző szervezet, az ezen típusú </w:t>
            </w:r>
            <w:r>
              <w:br/>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 (ERA rendszer, űrlap),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év január 31.</w:t>
            </w:r>
          </w:p>
        </w:tc>
      </w:tr>
      <w:tr w:rsidR="00332A4D">
        <w:trPr>
          <w:cantSplit/>
          <w:trHeight w:val="1541"/>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102</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P69</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A pénzforgalmi szolgáltatás nyújtásáról szóló 2009. évi LXXXV. törvény 55/</w:t>
            </w:r>
            <w:proofErr w:type="gramStart"/>
            <w:r>
              <w:t>A</w:t>
            </w:r>
            <w:proofErr w:type="gramEnd"/>
            <w:r>
              <w:t>. § (2) bekezdéséhez kapcsolódó jelentés</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pénzforgalmi szolgáltató,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elektronikus úton </w:t>
            </w:r>
            <w:r>
              <w:br/>
              <w:t>(ERA rendszer, űrlap),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év március 31.</w:t>
            </w:r>
          </w:p>
        </w:tc>
      </w:tr>
      <w:tr w:rsidR="00332A4D">
        <w:trPr>
          <w:cantSplit/>
          <w:trHeight w:val="2540"/>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103</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P70</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A célra rendelt interfész egyes követelményeinek </w:t>
            </w:r>
            <w:proofErr w:type="spellStart"/>
            <w:r>
              <w:t>nemteljesítésére</w:t>
            </w:r>
            <w:proofErr w:type="spellEnd"/>
            <w:r>
              <w:t xml:space="preserve"> vonatkozó eseti adatszolgáltatás</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tartalékmechanizmus létrehozása alól mentesített számlavezető pénzforgalmi szolgáltató, az ezen típusú </w:t>
            </w:r>
            <w:r>
              <w:br/>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eseti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elektronikus úton </w:t>
            </w:r>
            <w:r>
              <w:br/>
              <w:t>(ERA rendszer, űrlap),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az (EU) 2015/2366 európai parlamenti és tanácsi irányelvnek az erős ügyfél-hitelesítésre, valamint a közös és biztonságos nyílt kommunikációs standardokra vonatkozó szabályozástechnikai standardok tekintetében történő kiegészítéséről szóló 2017. november 27-i (EU) 2018/389 felhatalmazáson alapuló bizottsági rendelet (a továbbiakban: </w:t>
            </w:r>
            <w:proofErr w:type="spellStart"/>
            <w:r>
              <w:t>SCAr</w:t>
            </w:r>
            <w:proofErr w:type="spellEnd"/>
            <w:r>
              <w:t xml:space="preserve">.) 33. cikk (6) bekezdés a) és d) pontjában meghatározott feltételek két egymást követő naptári héten át tartó </w:t>
            </w:r>
            <w:proofErr w:type="spellStart"/>
            <w:r>
              <w:t>nemteljesítését</w:t>
            </w:r>
            <w:proofErr w:type="spellEnd"/>
            <w:r>
              <w:t xml:space="preserve"> követő munkanap</w:t>
            </w:r>
          </w:p>
        </w:tc>
      </w:tr>
      <w:tr w:rsidR="00332A4D">
        <w:trPr>
          <w:cantSplit/>
          <w:trHeight w:val="2540"/>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104</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P71</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proofErr w:type="spellStart"/>
            <w:r>
              <w:t>Műveletikockázat-elemzésen</w:t>
            </w:r>
            <w:proofErr w:type="spellEnd"/>
            <w:r>
              <w:t xml:space="preserve"> alapuló kivételek alkalmazásának </w:t>
            </w:r>
            <w:proofErr w:type="gramStart"/>
            <w:r>
              <w:t>megszüntetése ,</w:t>
            </w:r>
            <w:proofErr w:type="gramEnd"/>
            <w:r>
              <w:t xml:space="preserve"> illetve újraalkalmazása</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számlavezető pénzforgalmi szolgáltató,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eseti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elektronikus úton </w:t>
            </w:r>
            <w:r>
              <w:br/>
              <w:t>(ERA rendszer, űrlap),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a </w:t>
            </w:r>
            <w:proofErr w:type="spellStart"/>
            <w:r>
              <w:t>műveletikockázat-elemzésen</w:t>
            </w:r>
            <w:proofErr w:type="spellEnd"/>
            <w:r>
              <w:t xml:space="preserve"> alapuló kivételek alkalmazásának megszüntetése tekintetében: az </w:t>
            </w:r>
            <w:proofErr w:type="spellStart"/>
            <w:r>
              <w:t>SCAr</w:t>
            </w:r>
            <w:proofErr w:type="spellEnd"/>
            <w:r>
              <w:t>. 20. cikk (1) bekezdésében foglaltak szerint azonnal;</w:t>
            </w:r>
          </w:p>
          <w:p w:rsidR="00332A4D" w:rsidRDefault="00332A4D">
            <w:pPr>
              <w:spacing w:after="0"/>
              <w:ind w:firstLine="0"/>
              <w:jc w:val="center"/>
            </w:pPr>
          </w:p>
          <w:p w:rsidR="00332A4D" w:rsidRDefault="00332A4D">
            <w:pPr>
              <w:spacing w:after="0"/>
              <w:ind w:firstLine="0"/>
              <w:jc w:val="center"/>
            </w:pPr>
            <w:r>
              <w:t xml:space="preserve">a </w:t>
            </w:r>
            <w:proofErr w:type="spellStart"/>
            <w:r>
              <w:t>műveletikockázat-elemzésen</w:t>
            </w:r>
            <w:proofErr w:type="spellEnd"/>
            <w:r>
              <w:t xml:space="preserve"> alapuló kivételek újraalkalmazása tekintetében: az újraalkalmazás tervezett időpontját megelőző 5. munkanap;</w:t>
            </w:r>
          </w:p>
        </w:tc>
      </w:tr>
      <w:tr w:rsidR="00332A4D">
        <w:trPr>
          <w:cantSplit/>
          <w:trHeight w:val="1612"/>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105</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P72</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A célra rendelt </w:t>
            </w:r>
            <w:proofErr w:type="spellStart"/>
            <w:r>
              <w:t>interfésszel</w:t>
            </w:r>
            <w:proofErr w:type="spellEnd"/>
            <w:r>
              <w:t xml:space="preserve"> kapcsolatos, rendkívüli intézkedést igénylő problémák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pénzforgalmi szolgáltató, az ezen típusú EGT fióktelep</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eseti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 xml:space="preserve">(ERA rendszer, űrlap), fokozott biztonságú vagy minősített elektronikus aláírással ellátva </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az </w:t>
            </w:r>
            <w:proofErr w:type="spellStart"/>
            <w:r>
              <w:t>SCAr</w:t>
            </w:r>
            <w:proofErr w:type="spellEnd"/>
            <w:r>
              <w:t>. 33. cikk (3) bekezdésében foglaltak szerint haladéktalanul</w:t>
            </w:r>
          </w:p>
        </w:tc>
      </w:tr>
      <w:tr w:rsidR="00332A4D">
        <w:trPr>
          <w:cantSplit/>
          <w:trHeight w:val="612"/>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106</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P73</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Központi szerződő fél – kollektív garanciaalap- és tőkeadatok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központi szerződő fél,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20. munkanap</w:t>
            </w:r>
          </w:p>
        </w:tc>
      </w:tr>
      <w:tr w:rsidR="00332A4D">
        <w:trPr>
          <w:cantSplit/>
          <w:trHeight w:val="612"/>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107</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P74</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Pénzforgalmi díjkimutatások adatai</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a fogyasztók részére vezetett fizetési számlákhoz kapcsolódó díjakról történő tájékoztatás egyes kérdéseiről szóló 144/2018. </w:t>
            </w:r>
            <w:r>
              <w:br/>
              <w:t>(VIII. 13.) Korm. rendelet hatálya alá tartozó pénzforgalmi szolgáltató</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 (ERA rendszer),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tárgyidőszakot követő év </w:t>
            </w:r>
            <w:r>
              <w:br/>
              <w:t>február 28.</w:t>
            </w:r>
          </w:p>
        </w:tc>
      </w:tr>
      <w:tr w:rsidR="00332A4D">
        <w:trPr>
          <w:cantSplit/>
          <w:trHeight w:hRule="exact" w:val="1208"/>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108</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P75</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Azonnali elszámolás forgalmának adatai</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fizetési rendszer működtetését végző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napi két alkalommal</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 (</w:t>
            </w:r>
            <w:proofErr w:type="spellStart"/>
            <w:r>
              <w:t>GiroHálóMail</w:t>
            </w:r>
            <w:proofErr w:type="spellEnd"/>
            <w:r>
              <w:t>)</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Valós Idejű Bruttó Elszámolási Rendszer </w:t>
            </w:r>
            <w:r>
              <w:br/>
              <w:t xml:space="preserve">(a továbbiakban: VIBER) munkanapon, a </w:t>
            </w:r>
            <w:proofErr w:type="spellStart"/>
            <w:r>
              <w:t>VIBER-nyitást</w:t>
            </w:r>
            <w:proofErr w:type="spellEnd"/>
            <w:r>
              <w:t xml:space="preserve"> és </w:t>
            </w:r>
            <w:proofErr w:type="spellStart"/>
            <w:r>
              <w:t>VIBER-zárást</w:t>
            </w:r>
            <w:proofErr w:type="spellEnd"/>
            <w:r>
              <w:t xml:space="preserve"> követő </w:t>
            </w:r>
            <w:r>
              <w:br/>
              <w:t>30 percen belül</w:t>
            </w:r>
          </w:p>
        </w:tc>
      </w:tr>
      <w:tr w:rsidR="00332A4D">
        <w:trPr>
          <w:cantSplit/>
          <w:trHeight w:val="1660"/>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109</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P76</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Azonnali elszámolás tranzakciós adatai</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az azonnali átutalási megbízás elszámolását és teljesítését végző belföldi fizetési rendszerhez kapcsolódó közvetlen vagy közvetett résztvevő, a szakosított hitelintézet és a MÁK kivételével</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heti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 űrlap),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a tárgyidőszakot követő 4. munkanap</w:t>
            </w:r>
          </w:p>
        </w:tc>
      </w:tr>
      <w:tr w:rsidR="00332A4D">
        <w:trPr>
          <w:cantSplit/>
          <w:trHeight w:val="1090"/>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110</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P81</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Napi valutaszállítási jelentés</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kijelölt, pénzfeldolgozási tevékenység végzésére vonatkozó engedéllyel rendelkező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napi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 (ERA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a tárgynapot követő munkanap 12 óra</w:t>
            </w:r>
          </w:p>
        </w:tc>
      </w:tr>
      <w:tr w:rsidR="00332A4D">
        <w:trPr>
          <w:cantSplit/>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111</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R01</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Tőkebefektetésben érintett adatszolgáltatók végső befektetőjének és nem-rezidens partnereinek törzsadatai</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az R02, R03, R12, R13 vagy R29 MNB azonosító kódú adatszolgáltatás teljesítésére kötelezett gazdasági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az R02, R03, R12, R13 vagy R29 MNB azonosító kódú adatszolgáltatás első alkalommal történő teljesítésekor, ezt követően változás esetén</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az R02, R03, R12 vagy R13 MNB azonosító kódú adatszolgáltatáshoz kapcsolódóan azok tárgyidőszakát követő hónap </w:t>
            </w:r>
            <w:r>
              <w:br/>
              <w:t xml:space="preserve">9. munkanap; </w:t>
            </w:r>
            <w:r>
              <w:br/>
              <w:t>az R29 MNB azonosító kódú adatszolgáltatáshoz kapcsolódóan annak tárgyidőszakát követő év június 20.</w:t>
            </w:r>
          </w:p>
        </w:tc>
      </w:tr>
      <w:tr w:rsidR="00332A4D">
        <w:trPr>
          <w:cantSplit/>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112</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R02</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Tőkebefektetések havi adatszolgáltatása – egyéb monetáris pénzügyi intézmények szektorába nem sorolt gazdasági szervezetek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kijelölt – a 2. melléklet I. </w:t>
            </w:r>
            <w:proofErr w:type="gramStart"/>
            <w:r>
              <w:t>A</w:t>
            </w:r>
            <w:proofErr w:type="gramEnd"/>
            <w:r>
              <w:t>. pontja szerinti C) Egyéb monetáris pénzügyi intézmények szektorába nem sorolt – gazdasági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113</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R03</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Tőkebefektetések havi adatszolgáltatása – egyéb monetáris pénzügyi intézmények </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kijelölt –  a 2. melléklet I. </w:t>
            </w:r>
            <w:proofErr w:type="gramStart"/>
            <w:r>
              <w:t>A</w:t>
            </w:r>
            <w:proofErr w:type="gramEnd"/>
            <w:r>
              <w:t>. pontja szerinti C) Egyéb monetáris pénzügyi intézmények szektorába sorolt – gazdasági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114</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R04</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Értékpapír befektetések </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kijelölt gazdasági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Height w:val="703"/>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115</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R05</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Pénzügyi </w:t>
            </w:r>
            <w:proofErr w:type="spellStart"/>
            <w:r>
              <w:t>derivatívák</w:t>
            </w:r>
            <w:proofErr w:type="spellEnd"/>
            <w:r>
              <w:t xml:space="preserve"> havi adatszolgáltatása</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kijelölt gazdasági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Height w:val="1690"/>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116</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R06</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Egyéb befektetések havi adatszolgáltatása – nem pénzügyi vállalatok, biztosítók és nyugdíjpénztárak, háztartásokat segítő nonprofit intézmények, zártkörű pénzügyi közvetítők, valamint a központi kormányzatba sorolt gazdasági társaságok és nonprofit szervezetek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kijelölt – a 2. melléklet I. </w:t>
            </w:r>
            <w:proofErr w:type="gramStart"/>
            <w:r>
              <w:t>A</w:t>
            </w:r>
            <w:proofErr w:type="gramEnd"/>
            <w:r>
              <w:t xml:space="preserve">. pontja szerinti </w:t>
            </w:r>
            <w:proofErr w:type="gramStart"/>
            <w:r>
              <w:t>A</w:t>
            </w:r>
            <w:proofErr w:type="gramEnd"/>
            <w:r>
              <w:t>) Nem pénzügyi vállalatok, F) Biztosítók és nyugdíjpénztárak, K) Háztartásokat segítő nonprofit intézmények és Z) Zártkörű pénzügyi közvetítők szektorába sorolt, továbbá a G) Központi kormányzat szektorába sorolt gazdasági társaságok és nonprofit szervezetek körébe tartozó – gazdasági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Height w:val="1273"/>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117</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R08</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Egyéb befektetések havi adatszolgáltatása – egyéb pénzügyi közvetítők és pénzügyi kiegészítő tevékenységet végzők </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kijelölt – a 2. melléklet I. </w:t>
            </w:r>
            <w:proofErr w:type="gramStart"/>
            <w:r>
              <w:t>A</w:t>
            </w:r>
            <w:proofErr w:type="gramEnd"/>
            <w:r>
              <w:t>. pontja szerinti D) Egyéb pénzügyi közvetítők és E) Pénzügyi kiegészítő tevékenységet végzők szektorába sorolt – gazdasági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Height w:val="1110"/>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118</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R09</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Egyéb befektetések havi adatszolgáltatása – a központi kormányzatba sorolt gazdasági társaságok és nonprofit szervezetek kivételével a központi kormányzat, helyi önkormányzatok és társadalombiztosítási alapok </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kijelölt – a központi kormányzatba sorolt gazdasági társaságok és nonprofit szervezetek kivételével a 2. melléklet I. </w:t>
            </w:r>
            <w:proofErr w:type="gramStart"/>
            <w:r>
              <w:t>A</w:t>
            </w:r>
            <w:proofErr w:type="gramEnd"/>
            <w:r>
              <w:t>. pontja szerinti G) Központi kormányzat, H) Helyi önkormányzatok, I) Társadalombiztosítási alapok szektorába sorolt – jogi személy</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119</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R10</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Konzorciális hitelek </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kijelölt hitelintézet,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120</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R11</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Viszonzatlan átutalások és eszmei, szellemi javak havi adatszolgáltatása</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kijelölt gazdasági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121</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R12</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Tőkebefektetések negyedéves adatszolgáltatása – egyéb monetáris pénzügyi intézmények szektorába nem sorolt gazdasági szervezetek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rsidRPr="00390185">
              <w:t>kijelölt gazdasági szervezet, továbbá az R02, R12</w:t>
            </w:r>
            <w:r>
              <w:t xml:space="preserve"> MNB azonosító kódú adatszolgáltatásra ki nem jelölt azon – a 2. melléklet I. </w:t>
            </w:r>
            <w:proofErr w:type="gramStart"/>
            <w:r>
              <w:t>A</w:t>
            </w:r>
            <w:proofErr w:type="gramEnd"/>
            <w:r>
              <w:t xml:space="preserve">. </w:t>
            </w:r>
            <w:proofErr w:type="gramStart"/>
            <w:r>
              <w:t>pontja szerinti  C) egyéb monetáris pénzügyi intézmények  szektorába nem sorolt gazdasági szervezet, amely, illetve amelynek</w:t>
            </w:r>
            <w:r>
              <w:br/>
              <w:t>- a tárgynegyedév első vagy utolsó napján a vállalatcsoport adatszolgáltatóban szavazati joggal közvetlenül rendelkező külföldi tagjaira együttesen jutó (magyar számviteli szabályok szerinti) saját tőke összege legalább 2 milliárd forint, vagy kisebb, mint mínusz 2 milliárd forint, vagy</w:t>
            </w:r>
            <w:r>
              <w:br/>
              <w:t>- a vállalatcsoportba tartozó egy vagy több külföldi vállalkozás jegyzett tőkéjében szavazati joggal rendelkeznek, és ezen részesedések együttes értéke vagy a külföldi fióktelepnek átadott</w:t>
            </w:r>
            <w:proofErr w:type="gramEnd"/>
            <w:r>
              <w:t xml:space="preserve"> vagyon értéke eléri az 500 millió forintot, vagy</w:t>
            </w:r>
            <w:r>
              <w:br/>
              <w:t xml:space="preserve">- a tárgynegyedév első vagy utolsó napján </w:t>
            </w:r>
            <w:proofErr w:type="gramStart"/>
            <w:r>
              <w:t>a  vállalatcsoportba</w:t>
            </w:r>
            <w:proofErr w:type="gramEnd"/>
            <w:r>
              <w:t xml:space="preserve"> tartozó külföldi vállalatokkal, a külföldi fióktelepekkel szemben fennálló, tulajdonosi viszonyon kívüli követelés vagy tartozás állománya eléri az 500 millió forintot, vagy</w:t>
            </w:r>
            <w:r>
              <w:br/>
              <w:t>- a tárgyidőszakban 500 millió forintot elérő értékben vásároltak nem-rezidenstől vagy értékesítettek nem-rezidensnek rezidens társaságbeli, legalább 10%-os szavazati jogot biztosító részesedést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12. munkanap</w:t>
            </w:r>
          </w:p>
        </w:tc>
      </w:tr>
      <w:tr w:rsidR="00332A4D">
        <w:trPr>
          <w:cantSplit/>
          <w:trHeight w:val="5801"/>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122</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R13</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Tőkebefektetések negyedéves adatszolgáltatása – egyéb monetáris pénzügyi intézmények </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rsidRPr="00390185">
              <w:t>kijelölt gazdasági szervezet, továbbá az R03, R13</w:t>
            </w:r>
            <w:r>
              <w:t xml:space="preserve"> MNB azonosító kódú adatszolgáltatásra ki nem jelölt azon – a 2. melléklet I. </w:t>
            </w:r>
            <w:proofErr w:type="gramStart"/>
            <w:r>
              <w:t>A</w:t>
            </w:r>
            <w:proofErr w:type="gramEnd"/>
            <w:r>
              <w:t xml:space="preserve">. </w:t>
            </w:r>
            <w:proofErr w:type="gramStart"/>
            <w:r>
              <w:t>pontja szerinti C) Egyéb monetáris pénzügyi intézmények szektorába sorolt – gazdasági szervezet, amely, illetve amelynek</w:t>
            </w:r>
            <w:r>
              <w:br/>
              <w:t>- a tárgynegyedév első vagy utolsó napján a  vállalatcsoport adatszolgáltatóban szavazati joggal közvetlenül rendelkező külföldi tagjaira együttesen jutó (magyar számviteli szabályok szerinti) saját tőke összege legalább 2 milliárd forint, vagy kisebb mint mínusz 2 milliárd forint, vagy</w:t>
            </w:r>
            <w:r>
              <w:br/>
              <w:t>- a vállalatcsoportba tartozó egy vagy több külföldi vállalkozás jegyzett tőkéjében szavazati joggal rendelkeznek, és ezen részesedések együttes értéke vagy a külföldi fióktelepnek átadott vagyon</w:t>
            </w:r>
            <w:proofErr w:type="gramEnd"/>
            <w:r>
              <w:t xml:space="preserve"> értéke eléri az500 millió forintot, vagy</w:t>
            </w:r>
            <w:r>
              <w:br/>
              <w:t>- a tárgyidőszakban 500 millió forintot elérő értékben vásároltak nem-rezidenstől vagy értékesítettek nem-rezidensnek rezidens társaságbeli, legalább 10%-os szavazati jogot biztosító részesedést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123</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R14</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Pénzügyi </w:t>
            </w:r>
            <w:proofErr w:type="spellStart"/>
            <w:r>
              <w:t>derivatívák</w:t>
            </w:r>
            <w:proofErr w:type="spellEnd"/>
            <w:r>
              <w:t xml:space="preserve"> negyedéves adatszolgáltatása</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proofErr w:type="gramStart"/>
            <w:r w:rsidRPr="00390185">
              <w:t xml:space="preserve">kijelölt gazdasági szervezet, továbbá – a hitelintézet és ezen típusú </w:t>
            </w:r>
            <w:proofErr w:type="spellStart"/>
            <w:r w:rsidRPr="00390185">
              <w:t>EGT-fióktelep</w:t>
            </w:r>
            <w:proofErr w:type="spellEnd"/>
            <w:r w:rsidRPr="00390185">
              <w:t xml:space="preserve"> kivételével – az R05, R14</w:t>
            </w:r>
            <w:r>
              <w:t xml:space="preserve"> MNB azonosító kódú adatszolgáltatásra ki nem jelölt azon gazdasági szervezet, amelynek a nem-rezidens partnerekkel kötött pénzügyi derivatív megállapodásaihoz kapcsolódóan </w:t>
            </w:r>
            <w:r>
              <w:br/>
              <w:t>- a tárgynegyedév folyamán lebonyolított, illetve elszámolt tranzakcióik (bevételek és kiadások) összege eléri az500 millió Ft-ot, vagy</w:t>
            </w:r>
            <w:r>
              <w:br/>
              <w:t xml:space="preserve">- a tárgynegyedév első vagy utolsó napján a pénzügyi </w:t>
            </w:r>
            <w:proofErr w:type="spellStart"/>
            <w:r>
              <w:t>derivatíva</w:t>
            </w:r>
            <w:proofErr w:type="spellEnd"/>
            <w:r>
              <w:t xml:space="preserve"> pozícióik (követelések és tartozások) piaci értékének összege eléri a 100 millió Ft-ot</w:t>
            </w:r>
            <w:proofErr w:type="gram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124</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R15</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Egyéb befektetések negyedéves adatszolgáltatása – nem pénzügyi vállalatok, biztosítók és nyugdíjpénztárak, háztartásokat segítő nonprofit intézmények, zártkörű pénzügyi közvetítők, valamint a központi kormányzatba sorolt gazdasági társaságok és nonprofit szervezetek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rsidRPr="00390185">
              <w:t>kijelölt gazdasági szervezet, továbbá az R06, R15</w:t>
            </w:r>
            <w:r>
              <w:t xml:space="preserve"> MNB azonosító kódú adatszolgáltatásra ki nem jelölt azon – a 2. melléklet I. </w:t>
            </w:r>
            <w:proofErr w:type="gramStart"/>
            <w:r>
              <w:t>A</w:t>
            </w:r>
            <w:proofErr w:type="gramEnd"/>
            <w:r>
              <w:t xml:space="preserve">. pontja szerinti </w:t>
            </w:r>
            <w:proofErr w:type="gramStart"/>
            <w:r>
              <w:t>A</w:t>
            </w:r>
            <w:proofErr w:type="gramEnd"/>
            <w:r>
              <w:t>) Nem pénzügyi vállalatok, F) Biztosítók és nyugdíjpénztárak, K) Háztartásokat segítő nonprofit intézmények és Z) Zártkörű pénzügyi közvetítők szektorába sorolt, továbbá a G) Központi kormányzat szektorába sorolt gazdasági társaságok és nonprofit szervezetek körébe tartozó – gazdasági szervezet, amely esetében a tárgynegyedév első vagy utolsó napján az adatszolgáltatásban szereplő összes követelés vagy összes tartozás állománya eléri az500 millió Ft-ot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125</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R17</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Egyéb befektetések negyedéves adatszolgáltatása – egyéb pénzügyi közvetítők és pénzügyi kiegészítő tevékenységet végzők </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rsidRPr="00390185">
              <w:t>kijelölt gazdasági szervezet, továbbá az R08, R17</w:t>
            </w:r>
            <w:r>
              <w:t xml:space="preserve"> MNB azonosító kódú adatszolgáltatásra ki nem jelölt azon – a 2. melléklet I. </w:t>
            </w:r>
            <w:proofErr w:type="gramStart"/>
            <w:r>
              <w:t>A</w:t>
            </w:r>
            <w:proofErr w:type="gramEnd"/>
            <w:r>
              <w:t>. pontja szerinti D) Egyéb pénzügyi közvetítők és E) Pénzügyi kiegészítő tevékenységet végzők szektorába sorolt – gazdasági szervezet, amely esetében a tárgynegyedév első vagy utolsó napján az adatszolgáltatásban szereplő összes követelés vagy összes tartozás állománya eléri az500 millió Ft-ot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Height w:val="3588"/>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126</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R18</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Viszonzatlan átutalások és eszmei, szellemi javak negyedéves adatszolgáltatása – nem pénzügyi vállalatok, biztosítók és nyugdíjpénztárak, egyéb monetáris intézmények, egyéb pénzügyi közvetítők, pénzügyi kiegészítő tevékenységet végzők, valamint zártkörű pénzügyi közvetítők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az R11 MNB azonosító kódú adatszolgáltatásra ki nem jelölt azon – a 2. melléklet I. </w:t>
            </w:r>
            <w:proofErr w:type="gramStart"/>
            <w:r>
              <w:t>A</w:t>
            </w:r>
            <w:proofErr w:type="gramEnd"/>
            <w:r>
              <w:t xml:space="preserve">. pontja szerinti </w:t>
            </w:r>
            <w:proofErr w:type="gramStart"/>
            <w:r>
              <w:t>A</w:t>
            </w:r>
            <w:proofErr w:type="gramEnd"/>
            <w:r>
              <w:t>) Nem pénzügyi vállalatok, F) Biztosítók és nyugdíjpénztárak, C) Egyéb monetáris pénzügyi intézmények, D) Egyéb pénzügyi közvetítők, E) Pénzügyi kiegészítő tevékenységet végzők, valamint Z) Zártkörű pénzügyi közvetítők szektorába sorolt – gazdasági szervezet, amely adatszolgáltatásban szereplő tárgynegyedévi összes bevételi vagy összes kiadási forgalma eléri a 200 millió Ft-ot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Height w:val="950"/>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127</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R19</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Nem pénzügyi vállalatok tájékoztató mérlegadatai </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kijelölt – a 2. melléklet I. </w:t>
            </w:r>
            <w:proofErr w:type="gramStart"/>
            <w:r>
              <w:t>A</w:t>
            </w:r>
            <w:proofErr w:type="gramEnd"/>
            <w:r>
              <w:t xml:space="preserve">. pontja szerinti </w:t>
            </w:r>
            <w:proofErr w:type="gramStart"/>
            <w:r>
              <w:t>A</w:t>
            </w:r>
            <w:proofErr w:type="gramEnd"/>
            <w:r>
              <w:t>) Nem pénzügyi vállalatok szektorába sorolt – gazdasági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30. nap</w:t>
            </w:r>
          </w:p>
        </w:tc>
      </w:tr>
      <w:tr w:rsidR="00332A4D">
        <w:trPr>
          <w:cantSplit/>
          <w:trHeight w:val="1973"/>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128</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R20</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Éven túli lejáratú tartozások esedékességi bontása – nem pénzügyi vállalatok, biztosítók és nyugdíjpénztárak, háztartásokat segítő nonprofit intézmények, egyéb pénzügyi közvetítők, pénzügyi kiegészítő tevékenységet végzők</w:t>
            </w:r>
            <w:proofErr w:type="gramStart"/>
            <w:r>
              <w:t>,  zártkörű</w:t>
            </w:r>
            <w:proofErr w:type="gramEnd"/>
            <w:r>
              <w:t xml:space="preserve"> pénzügyi közvetítők, valamint a központi kormányzatba sorolt gazdasági társaságok és nonprofit szervezetek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az R06, R08, R15 vagy R17 MNB azonosító kódú adatszolgáltatás teljesítésére kötelezett, éven </w:t>
            </w:r>
            <w:proofErr w:type="gramStart"/>
            <w:r>
              <w:t>túli lejáratú</w:t>
            </w:r>
            <w:proofErr w:type="gramEnd"/>
            <w:r>
              <w:t xml:space="preserve"> tartozással rendelkező gazdasági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Height w:val="981"/>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129</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R21</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Éven </w:t>
            </w:r>
            <w:proofErr w:type="gramStart"/>
            <w:r>
              <w:t>túli lejáratú</w:t>
            </w:r>
            <w:proofErr w:type="gramEnd"/>
            <w:r>
              <w:t xml:space="preserve"> követelések és tartozások esedékességi bontása – egyéb monetáris intézmények </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éven </w:t>
            </w:r>
            <w:proofErr w:type="gramStart"/>
            <w:r>
              <w:t>túli lejáratú</w:t>
            </w:r>
            <w:proofErr w:type="gramEnd"/>
            <w:r>
              <w:t xml:space="preserve"> követeléssel vagy tartozással rendelkező hitelintézet,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11. munkanap</w:t>
            </w:r>
          </w:p>
        </w:tc>
      </w:tr>
      <w:tr w:rsidR="00332A4D">
        <w:trPr>
          <w:cantSplit/>
          <w:trHeight w:val="1122"/>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130</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R22</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Éven </w:t>
            </w:r>
            <w:proofErr w:type="gramStart"/>
            <w:r>
              <w:t>túli lejáratú</w:t>
            </w:r>
            <w:proofErr w:type="gramEnd"/>
            <w:r>
              <w:t xml:space="preserve"> tartozások esedékességi bontása – a központi kormányzatba sorolt gazdasági társaságok és nonprofit szervezetek kivételével a központi kormányzat, helyi önkormányzatok és társadalombiztosítási alapok </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az R09 MNB azonosító kódú adatszolgáltatás teljesítésére kijelölt, éven </w:t>
            </w:r>
            <w:proofErr w:type="gramStart"/>
            <w:r>
              <w:t>túli lejáratú</w:t>
            </w:r>
            <w:proofErr w:type="gramEnd"/>
            <w:r>
              <w:t xml:space="preserve"> tartozással rendelkező gazdasági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Height w:val="2583"/>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131</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R24</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Az állam és a többségi állami tulajdonban lévő gazdálkodó szervezetek, valamint a nem többségi állami tulajdonban lévő, de állam által garantált, éven túli külföldi adóssággal rendelkező gazdálkodó szervezetek külfölddel szemben keletkezett éven túli adóssága egyes adatainak negyedéves adatszolgáltatása</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éven túli külföldi adóssággal rendelkező költségvetési szerv és többségi állami tulajdonban lévő gazdálkodó szervezet, valamint nem többségi állami tulajdonban lévő, de állam által garantált, éven túli külföldi adóssággal rendelkező gazdálkodó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Height w:val="455"/>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132</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R25</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Állam által vállalt kezességek </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MÁK</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51. nap</w:t>
            </w:r>
          </w:p>
        </w:tc>
      </w:tr>
      <w:tr w:rsidR="00332A4D">
        <w:trPr>
          <w:cantSplit/>
          <w:trHeight w:val="1235"/>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133</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R26</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Az euróban vezetett ÁFA számlák miatt nem-rezidensekkel szemben fennálló követelések és tartozások állománya és forgalma </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Nemzeti Adó- és Vámhivatal (a továbbiakban: NAV)</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Height w:val="843"/>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134</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p>
        </w:tc>
      </w:tr>
      <w:tr w:rsidR="00332A4D">
        <w:trPr>
          <w:cantSplit/>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135</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R28</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Az állam és a többségi állami tulajdonban lévő gazdálkodó szervezetek, valamint a nem többségi állami tulajdonban lévő, de állam által garantált, éven túli külföldi adóssággal rendelkező gazdálkodó szervezetek külfölddel szemben keletkezett éven túli adóssága egyes adatainak éves adatszolgáltatása</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éven túli külföldi adóssággal rendelkező költségvetési szerv és többségi állami tulajdonban lévő gazdálkodó szervezet, valamint nem többségi állami tulajdonban lévő, de állam által garantált, éven túli külföldi adóssággal rendelkező gazdálkodó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év 32. munkanap</w:t>
            </w:r>
          </w:p>
        </w:tc>
      </w:tr>
      <w:tr w:rsidR="00332A4D">
        <w:trPr>
          <w:cantSplit/>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136</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R29</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Tőkebefektetések éves adatszolgáltatása</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proofErr w:type="gramStart"/>
            <w:r>
              <w:t>azon gazdasági szervezet, amely</w:t>
            </w:r>
            <w:r>
              <w:br/>
              <w:t xml:space="preserve">- vállalatcsoportba tartozó külföldi befektetővel/befektetőkkel rendelkezik, és a külföldi befektető(k)re jutó összes (magyar számviteli szabályok szerinti)saját tőke összege a tárgyév vagy a tárgyévet megelőző év mérlegforduló-napján eléri a 800 millió forintot, vagy kisebb, mint mínusz 800 millió forint, vagy </w:t>
            </w:r>
            <w:r>
              <w:br/>
              <w:t>a vállalatcsoportba tartozó egy vagy több külföldi vállalkozás jegyzett tőkéjében szavazati joggal vagy külföldi fiókteleppel rendelkezik, és ezen részesedések együttes értéke vagy a külföldi fióktelepnek átadott vagyon értéke a tárgyév vagy a tárgyévet</w:t>
            </w:r>
            <w:proofErr w:type="gramEnd"/>
            <w:r>
              <w:t xml:space="preserve"> megelőző év mérlegforduló-napján eléri a 10 millió forintot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év június 30.</w:t>
            </w:r>
          </w:p>
        </w:tc>
      </w:tr>
      <w:tr w:rsidR="00332A4D">
        <w:trPr>
          <w:cantSplit/>
          <w:trHeight w:val="839"/>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137</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R38</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Rezidens, nem-bank ügyfelek </w:t>
            </w:r>
            <w:r w:rsidRPr="00390185">
              <w:t>határon átnyúló</w:t>
            </w:r>
            <w:r>
              <w:t xml:space="preserve"> (forint és deviza) fizetési forgalom miatti jóváírásai és terhelései</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bank, szakosított hitelintézet,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12. munkanap</w:t>
            </w:r>
          </w:p>
        </w:tc>
      </w:tr>
      <w:tr w:rsidR="00332A4D">
        <w:trPr>
          <w:cantSplit/>
          <w:trHeight w:val="1943"/>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138</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R39</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Éven </w:t>
            </w:r>
            <w:proofErr w:type="gramStart"/>
            <w:r>
              <w:t>túli lejáratú</w:t>
            </w:r>
            <w:proofErr w:type="gramEnd"/>
            <w:r>
              <w:t xml:space="preserve"> hiteltartozások előtörlesztései</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az R06, R08, R09, R15 vagy R17 MNB azonosító kódú adatszolgáltatások teljesítésére kötelezett, éven túli külföldi adóssággal rendelkező és a tárgyidőszakban előtörlesztést végrehajtó gazdasági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év 32. munkanap</w:t>
            </w:r>
          </w:p>
        </w:tc>
      </w:tr>
      <w:tr w:rsidR="00332A4D">
        <w:trPr>
          <w:cantSplit/>
          <w:trHeight w:val="2356"/>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139</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R43</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Külföldi tőkebefektetővel rendelkező, átalakulás során megszűnő gazdasági társaságok eseti adatszolgáltatása (végleges vagyonmérleg)</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azon gazdasági társaság jogutódja, amely vállalatcsoportba tartozó külföldi befektetővel rendelkezik, és a külföldi befektetőre jutó összes saját tőke összege az átalakulás napján eléri az 1 milliárd forintot vagy kisebb, mint mínusz 1 milliárd forint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eseti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átalakulás napját követő 150. nap</w:t>
            </w:r>
          </w:p>
        </w:tc>
      </w:tr>
      <w:tr w:rsidR="00332A4D">
        <w:trPr>
          <w:cantSplit/>
          <w:trHeight w:val="1056"/>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140</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R44</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Nem pénzügyi vállalat által pénzügyi lízingbe vett eszközök forgalma</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kijelölt – a 2. melléklet I. </w:t>
            </w:r>
            <w:proofErr w:type="gramStart"/>
            <w:r>
              <w:t>A</w:t>
            </w:r>
            <w:proofErr w:type="gramEnd"/>
            <w:r>
              <w:t xml:space="preserve">. pontja szerinti </w:t>
            </w:r>
            <w:proofErr w:type="gramStart"/>
            <w:r>
              <w:t>A</w:t>
            </w:r>
            <w:proofErr w:type="gramEnd"/>
            <w:r>
              <w:t>) Nem pénzügyi vállalatok szektorába sorolt – gazdasági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egyedi elrendelés alapján, 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10. munkanap</w:t>
            </w:r>
          </w:p>
        </w:tc>
      </w:tr>
      <w:tr w:rsidR="00332A4D">
        <w:trPr>
          <w:cantSplit/>
          <w:trHeight w:val="1020"/>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141</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R45</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Éven </w:t>
            </w:r>
            <w:proofErr w:type="gramStart"/>
            <w:r>
              <w:t>túli lejáratú</w:t>
            </w:r>
            <w:proofErr w:type="gramEnd"/>
            <w:r>
              <w:t xml:space="preserve"> hiteltartozások előtörlesztése – egyéb monetáris intézmények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az éven túli külföldi adóssággal rendelkező és a tárgyidőszakban előtörlesztést végrehajtó hitelintézet,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év 32. munkanap</w:t>
            </w:r>
          </w:p>
        </w:tc>
      </w:tr>
      <w:tr w:rsidR="00332A4D">
        <w:trPr>
          <w:cantSplit/>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142</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R46</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Kijelölt gazdasági és nonprofit szervezetek eseti eszközfelmérő kérdőíve</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kijelölt – a 2. melléklet I. </w:t>
            </w:r>
            <w:proofErr w:type="gramStart"/>
            <w:r>
              <w:t>A</w:t>
            </w:r>
            <w:proofErr w:type="gramEnd"/>
            <w:r>
              <w:t xml:space="preserve">. pontja szerinti </w:t>
            </w:r>
            <w:proofErr w:type="gramStart"/>
            <w:r>
              <w:t>A</w:t>
            </w:r>
            <w:proofErr w:type="gramEnd"/>
            <w:r>
              <w:t>) Nem pénzügyi vállalatok szektorába sorolt – gazdasági szervezet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egyedi elrendelés alapján, eseti </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papíron</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a kijelölés kézhezvételétől számított </w:t>
            </w:r>
            <w:r>
              <w:br/>
              <w:t>15. napon belül (a kijelölést megelőző negyedévre vonatkozóan)</w:t>
            </w:r>
          </w:p>
        </w:tc>
      </w:tr>
      <w:tr w:rsidR="00332A4D">
        <w:trPr>
          <w:cantSplit/>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143</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SL2</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Fogyasztási hitelezés</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kijelölt bank, szakosított hitelintézet,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egyedi elrendelés alapján, 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12. munkanap 12 óra</w:t>
            </w:r>
          </w:p>
        </w:tc>
      </w:tr>
      <w:tr w:rsidR="00332A4D">
        <w:trPr>
          <w:cantSplit/>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144</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SL3</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Vállalati hitelezés</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kijelölt bank, szakosított hitelintézet,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egyedi elrendelés alapján, 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12. munkanap 12 óra</w:t>
            </w:r>
          </w:p>
        </w:tc>
      </w:tr>
      <w:tr w:rsidR="00332A4D">
        <w:trPr>
          <w:cantSplit/>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145</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SL4</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Üzleti célú ingatlanhitelezés</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kijelölt bank, szakosított hitelintézet,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egyedi elrendelés alapján, 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12. munkanap 12 óra</w:t>
            </w:r>
          </w:p>
        </w:tc>
      </w:tr>
      <w:tr w:rsidR="00332A4D">
        <w:trPr>
          <w:cantSplit/>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146</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SL5</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Lakáscélú hitelezés</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kijelölt bank, szakosított hitelintézet,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egyedi elrendelés alapján, 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12. munkanap 12 óra</w:t>
            </w:r>
          </w:p>
        </w:tc>
      </w:tr>
      <w:tr w:rsidR="00332A4D">
        <w:trPr>
          <w:cantSplit/>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147</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SL6</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Gépjármű finanszírozás</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kijelölt bank, szakosított hitelintézet, az </w:t>
            </w:r>
            <w:proofErr w:type="gramStart"/>
            <w:r>
              <w:t>ezen</w:t>
            </w:r>
            <w:proofErr w:type="gramEnd"/>
            <w:r>
              <w:t xml:space="preserve"> típusú </w:t>
            </w:r>
            <w:proofErr w:type="spellStart"/>
            <w:r>
              <w:t>EGT-fióktelep</w:t>
            </w:r>
            <w:proofErr w:type="spellEnd"/>
            <w:r>
              <w:t xml:space="preserve">, pénzügyi vállalkozások </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egyedi elrendelés alapján, negyedéves</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hónap 12. munkanap 12 óra</w:t>
            </w:r>
          </w:p>
        </w:tc>
      </w:tr>
      <w:tr w:rsidR="00332A4D">
        <w:trPr>
          <w:cantSplit/>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148</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T02</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A BÉT hivatalos részvényindexének napi adatai, továbbá a BÉT-en forgalmazott részvények napi kereskedési adatai</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pénzügyi eszközök kereskedését lebonyolító tőzsde,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napi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elektronikus </w:t>
            </w:r>
            <w:proofErr w:type="gramStart"/>
            <w:r>
              <w:t>úton(</w:t>
            </w:r>
            <w:proofErr w:type="gramEnd"/>
            <w:r>
              <w:t>ERA rendszer),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tárgynapot követő munkanap 9 óra</w:t>
            </w:r>
          </w:p>
        </w:tc>
      </w:tr>
      <w:tr w:rsidR="00332A4D">
        <w:trPr>
          <w:cantSplit/>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149</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T10</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Állampapír árfolyamok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ÁKK Zrt.</w:t>
            </w:r>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havi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tárgyidőszakot követő 5. munkanap</w:t>
            </w:r>
          </w:p>
        </w:tc>
      </w:tr>
      <w:tr w:rsidR="00332A4D">
        <w:trPr>
          <w:cantSplit/>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150</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W06</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A hitelintézetek szöveges jelentése aktuális témákban</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kijelölt bank, szakosított hitelintézet,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egyedi elrendelés alapján, eseti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papíron</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az egyedi elrendelésben foglaltak szerint</w:t>
            </w:r>
          </w:p>
        </w:tc>
      </w:tr>
      <w:tr w:rsidR="00332A4D">
        <w:trPr>
          <w:cantSplit/>
          <w:trHeight w:val="3022"/>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151</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W08</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Pénzügyi infrastruktúrák jelentése működési és biztonsági eseményekről</w:t>
            </w:r>
          </w:p>
          <w:p w:rsidR="00332A4D" w:rsidRDefault="00332A4D">
            <w:pPr>
              <w:spacing w:after="0"/>
              <w:ind w:firstLine="0"/>
              <w:jc w:val="left"/>
            </w:pP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pénzforgalmi </w:t>
            </w:r>
            <w:proofErr w:type="spellStart"/>
            <w:r>
              <w:t>elszámolóház</w:t>
            </w:r>
            <w:proofErr w:type="spellEnd"/>
            <w:r>
              <w:t xml:space="preserve">, központi értéktári tevékenységet végző szervezet, Tpt. szerinti központi szerződő fél, az ezen típusú </w:t>
            </w:r>
            <w:r>
              <w:br/>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 és eseti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 űrlap), fokozott biztonságú vagy minősített elektronikus aláírással ellátva, és a kezdeti jelentés tekintetében titkosított elektronikus levél</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 adatszolgáltatás: tárgyidőszakot követő 10. munkanap;</w:t>
            </w:r>
          </w:p>
          <w:p w:rsidR="00332A4D" w:rsidRDefault="00332A4D">
            <w:pPr>
              <w:spacing w:after="0"/>
              <w:ind w:firstLine="0"/>
              <w:jc w:val="center"/>
            </w:pPr>
          </w:p>
          <w:p w:rsidR="00332A4D" w:rsidRDefault="00332A4D">
            <w:pPr>
              <w:spacing w:after="0"/>
              <w:ind w:firstLine="0"/>
              <w:jc w:val="center"/>
            </w:pPr>
            <w:r>
              <w:t>kezdeti jelentés: minősítést követő 5 percen belül;</w:t>
            </w:r>
          </w:p>
          <w:p w:rsidR="00332A4D" w:rsidRDefault="00332A4D">
            <w:pPr>
              <w:spacing w:after="0"/>
              <w:ind w:firstLine="0"/>
              <w:jc w:val="center"/>
            </w:pPr>
            <w:r>
              <w:t>időközi jelentés: a kezdeti jelentés beküldését követő 3 munkanapon belül;</w:t>
            </w:r>
          </w:p>
          <w:p w:rsidR="00332A4D" w:rsidRDefault="00332A4D">
            <w:pPr>
              <w:spacing w:after="0"/>
              <w:ind w:firstLine="0"/>
              <w:jc w:val="center"/>
            </w:pPr>
            <w:r>
              <w:t>záró adatszolgáltatás: az esemény lezárását követő 30 napon belül;</w:t>
            </w:r>
          </w:p>
          <w:p w:rsidR="00332A4D" w:rsidRDefault="00332A4D">
            <w:pPr>
              <w:spacing w:after="0"/>
              <w:ind w:firstLine="0"/>
              <w:jc w:val="center"/>
            </w:pPr>
            <w:r>
              <w:t>visszaminősítési jelentés: a visszaminősítést követő 1 munkanapon belül;</w:t>
            </w:r>
          </w:p>
          <w:p w:rsidR="00332A4D" w:rsidRDefault="00332A4D">
            <w:pPr>
              <w:spacing w:after="0"/>
              <w:ind w:firstLine="0"/>
              <w:jc w:val="center"/>
            </w:pPr>
          </w:p>
          <w:p w:rsidR="00332A4D" w:rsidRDefault="00332A4D">
            <w:pPr>
              <w:spacing w:after="0"/>
              <w:ind w:firstLine="0"/>
              <w:jc w:val="center"/>
              <w:rPr>
                <w:highlight w:val="yellow"/>
              </w:rPr>
            </w:pPr>
            <w:r>
              <w:t>eseti kiértékelési jelentés: az MNB felhívását követő 30 munkanapon belül;</w:t>
            </w:r>
          </w:p>
        </w:tc>
      </w:tr>
      <w:tr w:rsidR="00332A4D">
        <w:trPr>
          <w:cantSplit/>
          <w:trHeight w:val="1358"/>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lastRenderedPageBreak/>
              <w:t>152</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W09</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rPr>
                <w:b/>
                <w:bCs/>
              </w:rPr>
            </w:pPr>
            <w:r>
              <w:t>Összehasonlítással kapcsolatos problémák</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központi értéktári tevékenységet végző szervezet, az ezen típusú </w:t>
            </w:r>
            <w:r>
              <w:br/>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eseti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elektronikus </w:t>
            </w:r>
            <w:proofErr w:type="gramStart"/>
            <w:r>
              <w:t>úton(</w:t>
            </w:r>
            <w:proofErr w:type="gramEnd"/>
            <w:r>
              <w:t>ERA rendszer, űrlap), fokozott biztonságú vagy minősített elektronikus aláírással ellátva</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A) eset: a kiegyenlítés felfüggesztésétől számított 2 munkaórán belül;</w:t>
            </w:r>
          </w:p>
          <w:p w:rsidR="00332A4D" w:rsidRDefault="00332A4D">
            <w:pPr>
              <w:spacing w:after="0"/>
              <w:ind w:firstLine="0"/>
              <w:jc w:val="center"/>
            </w:pPr>
            <w:r>
              <w:t>B) eset: a kereskedési napot követő munkanap 9 óra;</w:t>
            </w:r>
          </w:p>
          <w:p w:rsidR="00332A4D" w:rsidRDefault="00332A4D">
            <w:pPr>
              <w:spacing w:after="0"/>
              <w:ind w:firstLine="0"/>
              <w:jc w:val="center"/>
            </w:pPr>
            <w:r>
              <w:t>C) eset: a kiegyenlítés folytatásától számított 3 munkanapon belül;</w:t>
            </w:r>
          </w:p>
          <w:p w:rsidR="00332A4D" w:rsidRDefault="00332A4D">
            <w:pPr>
              <w:spacing w:after="0"/>
              <w:ind w:firstLine="0"/>
              <w:jc w:val="center"/>
            </w:pPr>
            <w:r>
              <w:t>D) eset: a hatodik összehasonlítással kapcsolatos probléma felmerülésétől számított 1 hónapon belül;</w:t>
            </w:r>
          </w:p>
        </w:tc>
      </w:tr>
      <w:tr w:rsidR="00332A4D">
        <w:trPr>
          <w:cantSplit/>
          <w:trHeight w:val="1358"/>
        </w:trPr>
        <w:tc>
          <w:tcPr>
            <w:tcW w:w="704"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153</w:t>
            </w:r>
          </w:p>
        </w:tc>
        <w:tc>
          <w:tcPr>
            <w:tcW w:w="1132" w:type="dxa"/>
            <w:tcBorders>
              <w:top w:val="nil"/>
              <w:left w:val="single" w:sz="4" w:space="0" w:color="auto"/>
              <w:bottom w:val="single" w:sz="4" w:space="0" w:color="auto"/>
              <w:right w:val="single" w:sz="4" w:space="0" w:color="auto"/>
            </w:tcBorders>
            <w:vAlign w:val="center"/>
          </w:tcPr>
          <w:p w:rsidR="00332A4D" w:rsidRDefault="00332A4D">
            <w:pPr>
              <w:spacing w:after="0"/>
              <w:ind w:firstLine="0"/>
              <w:jc w:val="center"/>
            </w:pPr>
            <w:r>
              <w:t>W12</w:t>
            </w:r>
          </w:p>
        </w:tc>
        <w:tc>
          <w:tcPr>
            <w:tcW w:w="288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Jelentés </w:t>
            </w:r>
            <w:proofErr w:type="spellStart"/>
            <w:r>
              <w:t>nagyértékű</w:t>
            </w:r>
            <w:proofErr w:type="spellEnd"/>
            <w:r>
              <w:t xml:space="preserve"> pénzforgalmi visszaélésről</w:t>
            </w:r>
          </w:p>
        </w:tc>
        <w:tc>
          <w:tcPr>
            <w:tcW w:w="3274" w:type="dxa"/>
            <w:tcBorders>
              <w:top w:val="nil"/>
              <w:left w:val="nil"/>
              <w:bottom w:val="single" w:sz="4" w:space="0" w:color="auto"/>
              <w:right w:val="single" w:sz="4" w:space="0" w:color="auto"/>
            </w:tcBorders>
            <w:vAlign w:val="center"/>
          </w:tcPr>
          <w:p w:rsidR="00332A4D" w:rsidRDefault="00332A4D">
            <w:pPr>
              <w:spacing w:after="0"/>
              <w:ind w:firstLine="0"/>
              <w:jc w:val="left"/>
            </w:pPr>
            <w:r>
              <w:t xml:space="preserve">bank, szakosított hitelintézet, az ezen típusú </w:t>
            </w:r>
            <w:proofErr w:type="spellStart"/>
            <w:r>
              <w:t>EGT-fióktelep</w:t>
            </w:r>
            <w:proofErr w:type="spellEnd"/>
          </w:p>
        </w:tc>
        <w:tc>
          <w:tcPr>
            <w:tcW w:w="1701" w:type="dxa"/>
            <w:tcBorders>
              <w:top w:val="nil"/>
              <w:left w:val="nil"/>
              <w:bottom w:val="single" w:sz="4" w:space="0" w:color="auto"/>
              <w:right w:val="single" w:sz="4" w:space="0" w:color="auto"/>
            </w:tcBorders>
            <w:vAlign w:val="center"/>
          </w:tcPr>
          <w:p w:rsidR="00332A4D" w:rsidRDefault="00332A4D">
            <w:pPr>
              <w:spacing w:after="0"/>
              <w:ind w:firstLine="0"/>
              <w:jc w:val="center"/>
            </w:pPr>
            <w:r>
              <w:t>negyedéves és eseti</w:t>
            </w:r>
          </w:p>
        </w:tc>
        <w:tc>
          <w:tcPr>
            <w:tcW w:w="1842" w:type="dxa"/>
            <w:tcBorders>
              <w:top w:val="nil"/>
              <w:left w:val="nil"/>
              <w:bottom w:val="single" w:sz="4" w:space="0" w:color="auto"/>
              <w:right w:val="single" w:sz="4" w:space="0" w:color="auto"/>
            </w:tcBorders>
            <w:vAlign w:val="center"/>
          </w:tcPr>
          <w:p w:rsidR="00332A4D" w:rsidRDefault="00332A4D">
            <w:pPr>
              <w:spacing w:after="0"/>
              <w:ind w:firstLine="0"/>
              <w:jc w:val="center"/>
            </w:pPr>
            <w:r>
              <w:t>elektronikus úton</w:t>
            </w:r>
          </w:p>
          <w:p w:rsidR="00332A4D" w:rsidRDefault="00332A4D">
            <w:pPr>
              <w:spacing w:after="0"/>
              <w:ind w:firstLine="0"/>
              <w:jc w:val="center"/>
            </w:pPr>
            <w:r>
              <w:t>(ERA rendszer)</w:t>
            </w:r>
          </w:p>
        </w:tc>
        <w:tc>
          <w:tcPr>
            <w:tcW w:w="3686" w:type="dxa"/>
            <w:tcBorders>
              <w:top w:val="nil"/>
              <w:left w:val="nil"/>
              <w:bottom w:val="single" w:sz="4" w:space="0" w:color="auto"/>
              <w:right w:val="single" w:sz="4" w:space="0" w:color="auto"/>
            </w:tcBorders>
            <w:vAlign w:val="center"/>
          </w:tcPr>
          <w:p w:rsidR="00332A4D" w:rsidRDefault="00332A4D">
            <w:pPr>
              <w:spacing w:after="0"/>
              <w:ind w:firstLine="0"/>
              <w:jc w:val="center"/>
            </w:pPr>
            <w:r>
              <w:t xml:space="preserve">negyedéves adatszolgáltatás tekintetében: a negyedévet követő 10. munkanap; </w:t>
            </w:r>
          </w:p>
          <w:p w:rsidR="00332A4D" w:rsidRDefault="00332A4D">
            <w:pPr>
              <w:spacing w:after="0"/>
              <w:ind w:firstLine="0"/>
              <w:jc w:val="center"/>
            </w:pPr>
            <w:r>
              <w:t>eseti adatszolgáltatás tekintetében: az esemény kivizsgálásának befejezését követő 10. munkanap;</w:t>
            </w:r>
          </w:p>
        </w:tc>
      </w:tr>
    </w:tbl>
    <w:p w:rsidR="008055D2" w:rsidRDefault="008055D2"/>
    <w:sectPr w:rsidR="008055D2">
      <w:type w:val="nextColumn"/>
      <w:pgSz w:w="16834" w:h="11896" w:orient="landscape"/>
      <w:pgMar w:top="1134" w:right="851" w:bottom="1134"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06"/>
    <w:rsid w:val="00332A4D"/>
    <w:rsid w:val="008055D2"/>
    <w:rsid w:val="00C01F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adjustRightInd w:val="0"/>
      <w:spacing w:after="20" w:line="240" w:lineRule="auto"/>
      <w:ind w:firstLine="142"/>
      <w:jc w:val="both"/>
    </w:pPr>
    <w:rPr>
      <w:rFonts w:ascii="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1">
    <w:name w:val="C1"/>
    <w:uiPriority w:val="99"/>
    <w:pPr>
      <w:autoSpaceDE w:val="0"/>
      <w:autoSpaceDN w:val="0"/>
      <w:adjustRightInd w:val="0"/>
      <w:spacing w:before="120" w:after="60" w:line="240" w:lineRule="auto"/>
      <w:jc w:val="center"/>
    </w:pPr>
    <w:rPr>
      <w:rFonts w:ascii="Times New Roman" w:hAnsi="Times New Roman" w:cs="Times New Roman"/>
      <w:b/>
      <w:bCs/>
      <w:sz w:val="20"/>
      <w:szCs w:val="20"/>
    </w:rPr>
  </w:style>
  <w:style w:type="paragraph" w:customStyle="1" w:styleId="C2">
    <w:name w:val="C2"/>
    <w:uiPriority w:val="99"/>
    <w:pPr>
      <w:autoSpaceDE w:val="0"/>
      <w:autoSpaceDN w:val="0"/>
      <w:adjustRightInd w:val="0"/>
      <w:spacing w:after="240" w:line="240" w:lineRule="auto"/>
      <w:jc w:val="center"/>
    </w:pPr>
    <w:rPr>
      <w:rFonts w:ascii="Times New Roman" w:hAnsi="Times New Roman" w:cs="Times New Roman"/>
      <w:b/>
      <w:bCs/>
      <w:sz w:val="20"/>
      <w:szCs w:val="20"/>
    </w:rPr>
  </w:style>
  <w:style w:type="paragraph" w:customStyle="1" w:styleId="C3">
    <w:name w:val="C3"/>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4">
    <w:name w:val="C4"/>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5">
    <w:name w:val="C5"/>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6">
    <w:name w:val="C6"/>
    <w:uiPriority w:val="99"/>
    <w:pPr>
      <w:autoSpaceDE w:val="0"/>
      <w:autoSpaceDN w:val="0"/>
      <w:adjustRightInd w:val="0"/>
      <w:spacing w:before="120" w:after="120" w:line="240" w:lineRule="auto"/>
      <w:jc w:val="center"/>
    </w:pPr>
    <w:rPr>
      <w:rFonts w:ascii="Times New Roman" w:hAnsi="Times New Roman" w:cs="Times New Roman"/>
      <w:b/>
      <w:bCs/>
      <w:sz w:val="20"/>
      <w:szCs w:val="20"/>
    </w:rPr>
  </w:style>
  <w:style w:type="paragraph" w:customStyle="1" w:styleId="C7">
    <w:name w:val="C7"/>
    <w:uiPriority w:val="99"/>
    <w:pPr>
      <w:autoSpaceDE w:val="0"/>
      <w:autoSpaceDN w:val="0"/>
      <w:adjustRightInd w:val="0"/>
      <w:spacing w:before="120" w:after="240" w:line="240" w:lineRule="auto"/>
      <w:jc w:val="center"/>
    </w:pPr>
    <w:rPr>
      <w:rFonts w:ascii="Times New Roman" w:hAnsi="Times New Roman" w:cs="Times New Roman"/>
      <w:i/>
      <w:iCs/>
      <w:sz w:val="20"/>
      <w:szCs w:val="20"/>
    </w:rPr>
  </w:style>
  <w:style w:type="paragraph" w:customStyle="1" w:styleId="M">
    <w:name w:val="M"/>
    <w:uiPriority w:val="99"/>
    <w:pPr>
      <w:autoSpaceDE w:val="0"/>
      <w:autoSpaceDN w:val="0"/>
      <w:adjustRightInd w:val="0"/>
      <w:spacing w:before="120" w:after="120" w:line="240" w:lineRule="auto"/>
      <w:jc w:val="both"/>
    </w:pPr>
    <w:rPr>
      <w:rFonts w:ascii="Times New Roman" w:hAnsi="Times New Roman" w:cs="Times New Roman"/>
      <w:i/>
      <w:iCs/>
      <w:sz w:val="20"/>
      <w:szCs w:val="20"/>
      <w:u w:val="single"/>
    </w:rPr>
  </w:style>
  <w:style w:type="paragraph" w:customStyle="1" w:styleId="LN">
    <w:name w:val="LN"/>
    <w:uiPriority w:val="99"/>
    <w:pPr>
      <w:autoSpaceDE w:val="0"/>
      <w:autoSpaceDN w:val="0"/>
      <w:adjustRightInd w:val="0"/>
      <w:spacing w:before="80" w:after="0" w:line="240" w:lineRule="auto"/>
      <w:jc w:val="both"/>
    </w:pPr>
    <w:rPr>
      <w:rFonts w:ascii="Times New Roman" w:hAnsi="Times New Roman" w:cs="Times New Roman"/>
      <w:sz w:val="20"/>
      <w:szCs w:val="20"/>
    </w:rPr>
  </w:style>
  <w:style w:type="paragraph" w:customStyle="1" w:styleId="C7B">
    <w:name w:val="C7B"/>
    <w:uiPriority w:val="99"/>
    <w:pPr>
      <w:autoSpaceDE w:val="0"/>
      <w:autoSpaceDN w:val="0"/>
      <w:adjustRightInd w:val="0"/>
      <w:spacing w:line="240" w:lineRule="auto"/>
      <w:jc w:val="center"/>
    </w:pPr>
    <w:rPr>
      <w:rFonts w:ascii="Times New Roman" w:hAnsi="Times New Roman" w:cs="Times New Roman"/>
      <w:b/>
      <w:bCs/>
      <w:sz w:val="20"/>
      <w:szCs w:val="20"/>
    </w:rPr>
  </w:style>
  <w:style w:type="paragraph" w:customStyle="1" w:styleId="DOLT">
    <w:name w:val="DOLT"/>
    <w:uiPriority w:val="99"/>
    <w:pPr>
      <w:autoSpaceDE w:val="0"/>
      <w:autoSpaceDN w:val="0"/>
      <w:adjustRightInd w:val="0"/>
      <w:spacing w:after="0" w:line="240" w:lineRule="auto"/>
      <w:ind w:firstLine="180"/>
      <w:jc w:val="both"/>
    </w:pPr>
    <w:rPr>
      <w:rFonts w:ascii="Times New Roman" w:hAnsi="Times New Roman" w:cs="Times New Roman"/>
      <w:i/>
      <w:iCs/>
      <w:sz w:val="20"/>
      <w:szCs w:val="20"/>
    </w:rPr>
  </w:style>
  <w:style w:type="paragraph" w:customStyle="1" w:styleId="BOLD">
    <w:name w:val="BOLD"/>
    <w:uiPriority w:val="99"/>
    <w:pPr>
      <w:autoSpaceDE w:val="0"/>
      <w:autoSpaceDN w:val="0"/>
      <w:adjustRightInd w:val="0"/>
      <w:spacing w:after="0" w:line="240" w:lineRule="auto"/>
      <w:ind w:firstLine="180"/>
      <w:jc w:val="both"/>
    </w:pPr>
    <w:rPr>
      <w:rFonts w:ascii="Times New Roman" w:hAnsi="Times New Roman" w:cs="Times New Roman"/>
      <w:b/>
      <w:bCs/>
      <w:sz w:val="20"/>
      <w:szCs w:val="20"/>
    </w:rPr>
  </w:style>
  <w:style w:type="paragraph" w:customStyle="1" w:styleId="KOZEP">
    <w:name w:val="KOZEP"/>
    <w:uiPriority w:val="99"/>
    <w:pPr>
      <w:autoSpaceDE w:val="0"/>
      <w:autoSpaceDN w:val="0"/>
      <w:adjustRightInd w:val="0"/>
      <w:spacing w:line="240" w:lineRule="auto"/>
      <w:jc w:val="center"/>
    </w:pPr>
    <w:rPr>
      <w:rFonts w:ascii="Times New Roman" w:hAnsi="Times New Roman" w:cs="Times New Roman"/>
      <w:sz w:val="20"/>
      <w:szCs w:val="20"/>
    </w:rPr>
  </w:style>
  <w:style w:type="paragraph" w:customStyle="1" w:styleId="BE">
    <w:name w:val="BE"/>
    <w:uiPriority w:val="99"/>
    <w:pPr>
      <w:autoSpaceDE w:val="0"/>
      <w:autoSpaceDN w:val="0"/>
      <w:adjustRightInd w:val="0"/>
      <w:spacing w:after="0" w:line="240" w:lineRule="auto"/>
    </w:pPr>
    <w:rPr>
      <w:rFonts w:ascii="Times New Roman" w:hAnsi="Times New Roman" w:cs="Times New Roman"/>
      <w:sz w:val="20"/>
      <w:szCs w:val="20"/>
    </w:rPr>
  </w:style>
  <w:style w:type="paragraph" w:customStyle="1" w:styleId="ZJ">
    <w:name w:val="ZJ"/>
    <w:uiPriority w:val="99"/>
    <w:pPr>
      <w:autoSpaceDE w:val="0"/>
      <w:autoSpaceDN w:val="0"/>
      <w:adjustRightInd w:val="0"/>
      <w:spacing w:after="0" w:line="240" w:lineRule="auto"/>
      <w:jc w:val="right"/>
    </w:pPr>
    <w:rPr>
      <w:rFonts w:ascii="Times New Roman" w:hAnsi="Times New Roman" w:cs="Times New Roman"/>
      <w:sz w:val="20"/>
      <w:szCs w:val="20"/>
    </w:rPr>
  </w:style>
  <w:style w:type="paragraph" w:customStyle="1" w:styleId="KI">
    <w:name w:val="KI"/>
    <w:uiPriority w:val="99"/>
    <w:pPr>
      <w:autoSpaceDE w:val="0"/>
      <w:autoSpaceDN w:val="0"/>
      <w:adjustRightInd w:val="0"/>
      <w:spacing w:after="0" w:line="240" w:lineRule="auto"/>
      <w:ind w:hanging="300"/>
    </w:pPr>
    <w:rPr>
      <w:rFonts w:ascii="Times New Roman" w:hAnsi="Times New Roman" w:cs="Times New Roman"/>
      <w:sz w:val="20"/>
      <w:szCs w:val="20"/>
    </w:rPr>
  </w:style>
  <w:style w:type="paragraph" w:customStyle="1" w:styleId="N1">
    <w:name w:val="N1"/>
    <w:uiPriority w:val="99"/>
    <w:pPr>
      <w:autoSpaceDE w:val="0"/>
      <w:autoSpaceDN w:val="0"/>
      <w:adjustRightInd w:val="0"/>
      <w:spacing w:before="120" w:after="60" w:line="240" w:lineRule="auto"/>
    </w:pPr>
    <w:rPr>
      <w:rFonts w:ascii="Times New Roman" w:hAnsi="Times New Roman" w:cs="Times New Roman"/>
      <w:b/>
      <w:bCs/>
      <w:sz w:val="20"/>
      <w:szCs w:val="20"/>
    </w:rPr>
  </w:style>
  <w:style w:type="paragraph" w:customStyle="1" w:styleId="N2">
    <w:name w:val="N2"/>
    <w:uiPriority w:val="99"/>
    <w:pPr>
      <w:autoSpaceDE w:val="0"/>
      <w:autoSpaceDN w:val="0"/>
      <w:adjustRightInd w:val="0"/>
      <w:spacing w:after="240" w:line="240" w:lineRule="auto"/>
    </w:pPr>
    <w:rPr>
      <w:rFonts w:ascii="Times New Roman" w:hAnsi="Times New Roman" w:cs="Times New Roman"/>
      <w:b/>
      <w:bCs/>
      <w:sz w:val="20"/>
      <w:szCs w:val="20"/>
    </w:rPr>
  </w:style>
  <w:style w:type="paragraph" w:customStyle="1" w:styleId="N3">
    <w:name w:val="N3"/>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4">
    <w:name w:val="N4"/>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5">
    <w:name w:val="N5"/>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6">
    <w:name w:val="N6"/>
    <w:uiPriority w:val="99"/>
    <w:pPr>
      <w:autoSpaceDE w:val="0"/>
      <w:autoSpaceDN w:val="0"/>
      <w:adjustRightInd w:val="0"/>
      <w:spacing w:before="120" w:after="120" w:line="240" w:lineRule="auto"/>
    </w:pPr>
    <w:rPr>
      <w:rFonts w:ascii="Times New Roman" w:hAnsi="Times New Roman" w:cs="Times New Roman"/>
      <w:b/>
      <w:bCs/>
      <w:sz w:val="20"/>
      <w:szCs w:val="20"/>
    </w:rPr>
  </w:style>
  <w:style w:type="paragraph" w:customStyle="1" w:styleId="N7">
    <w:name w:val="N7"/>
    <w:uiPriority w:val="99"/>
    <w:pPr>
      <w:autoSpaceDE w:val="0"/>
      <w:autoSpaceDN w:val="0"/>
      <w:adjustRightInd w:val="0"/>
      <w:spacing w:before="120" w:after="240" w:line="240" w:lineRule="auto"/>
    </w:pPr>
    <w:rPr>
      <w:rFonts w:ascii="Times New Roman" w:hAnsi="Times New Roman" w:cs="Times New Roman"/>
      <w:i/>
      <w:iCs/>
      <w:sz w:val="20"/>
      <w:szCs w:val="20"/>
    </w:rPr>
  </w:style>
  <w:style w:type="paragraph" w:customStyle="1" w:styleId="U">
    <w:name w:val="U"/>
    <w:uiPriority w:val="99"/>
    <w:pPr>
      <w:autoSpaceDE w:val="0"/>
      <w:autoSpaceDN w:val="0"/>
      <w:adjustRightInd w:val="0"/>
      <w:spacing w:before="120" w:after="120" w:line="240" w:lineRule="auto"/>
    </w:pPr>
    <w:rPr>
      <w:rFonts w:ascii="Times New Roman" w:hAnsi="Times New Roman" w:cs="Times New Roman"/>
      <w:i/>
      <w:iCs/>
      <w:sz w:val="20"/>
      <w:szCs w:val="20"/>
    </w:rPr>
  </w:style>
  <w:style w:type="paragraph" w:customStyle="1" w:styleId="N7B">
    <w:name w:val="N7B"/>
    <w:uiPriority w:val="99"/>
    <w:pPr>
      <w:autoSpaceDE w:val="0"/>
      <w:autoSpaceDN w:val="0"/>
      <w:adjustRightInd w:val="0"/>
      <w:spacing w:line="240" w:lineRule="auto"/>
    </w:pPr>
    <w:rPr>
      <w:rFonts w:ascii="Times New Roman" w:hAnsi="Times New Roman" w:cs="Times New Roman"/>
      <w:b/>
      <w:bCs/>
      <w:sz w:val="20"/>
      <w:szCs w:val="20"/>
    </w:rPr>
  </w:style>
  <w:style w:type="paragraph" w:customStyle="1" w:styleId="ALA00">
    <w:name w:val="ALA00"/>
    <w:uiPriority w:val="99"/>
    <w:pPr>
      <w:autoSpaceDE w:val="0"/>
      <w:autoSpaceDN w:val="0"/>
      <w:adjustRightInd w:val="0"/>
      <w:spacing w:line="240" w:lineRule="auto"/>
      <w:jc w:val="center"/>
    </w:pPr>
    <w:rPr>
      <w:rFonts w:ascii="Times New Roman" w:hAnsi="Times New Roman" w:cs="Times New Roman"/>
      <w:sz w:val="20"/>
      <w:szCs w:val="20"/>
    </w:rPr>
  </w:style>
  <w:style w:type="paragraph" w:customStyle="1" w:styleId="T9balTablazat">
    <w:name w:val="T9 bal (Tablazat)"/>
    <w:basedOn w:val="Norml"/>
    <w:uiPriority w:val="99"/>
    <w:rsid w:val="00332A4D"/>
    <w:pPr>
      <w:suppressAutoHyphens/>
      <w:spacing w:after="0" w:line="260" w:lineRule="atLeast"/>
      <w:ind w:firstLine="0"/>
      <w:jc w:val="left"/>
      <w:textAlignment w:val="center"/>
    </w:pPr>
    <w:rPr>
      <w:rFonts w:ascii="Myriad Pro" w:eastAsiaTheme="minorHAnsi" w:hAnsi="Myriad Pro" w:cs="Myriad Pro"/>
      <w:color w:val="00000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adjustRightInd w:val="0"/>
      <w:spacing w:after="20" w:line="240" w:lineRule="auto"/>
      <w:ind w:firstLine="142"/>
      <w:jc w:val="both"/>
    </w:pPr>
    <w:rPr>
      <w:rFonts w:ascii="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1">
    <w:name w:val="C1"/>
    <w:uiPriority w:val="99"/>
    <w:pPr>
      <w:autoSpaceDE w:val="0"/>
      <w:autoSpaceDN w:val="0"/>
      <w:adjustRightInd w:val="0"/>
      <w:spacing w:before="120" w:after="60" w:line="240" w:lineRule="auto"/>
      <w:jc w:val="center"/>
    </w:pPr>
    <w:rPr>
      <w:rFonts w:ascii="Times New Roman" w:hAnsi="Times New Roman" w:cs="Times New Roman"/>
      <w:b/>
      <w:bCs/>
      <w:sz w:val="20"/>
      <w:szCs w:val="20"/>
    </w:rPr>
  </w:style>
  <w:style w:type="paragraph" w:customStyle="1" w:styleId="C2">
    <w:name w:val="C2"/>
    <w:uiPriority w:val="99"/>
    <w:pPr>
      <w:autoSpaceDE w:val="0"/>
      <w:autoSpaceDN w:val="0"/>
      <w:adjustRightInd w:val="0"/>
      <w:spacing w:after="240" w:line="240" w:lineRule="auto"/>
      <w:jc w:val="center"/>
    </w:pPr>
    <w:rPr>
      <w:rFonts w:ascii="Times New Roman" w:hAnsi="Times New Roman" w:cs="Times New Roman"/>
      <w:b/>
      <w:bCs/>
      <w:sz w:val="20"/>
      <w:szCs w:val="20"/>
    </w:rPr>
  </w:style>
  <w:style w:type="paragraph" w:customStyle="1" w:styleId="C3">
    <w:name w:val="C3"/>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4">
    <w:name w:val="C4"/>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5">
    <w:name w:val="C5"/>
    <w:uiPriority w:val="99"/>
    <w:pPr>
      <w:autoSpaceDE w:val="0"/>
      <w:autoSpaceDN w:val="0"/>
      <w:adjustRightInd w:val="0"/>
      <w:spacing w:before="120" w:after="120" w:line="240" w:lineRule="auto"/>
      <w:jc w:val="center"/>
    </w:pPr>
    <w:rPr>
      <w:rFonts w:ascii="Times New Roman" w:hAnsi="Times New Roman" w:cs="Times New Roman"/>
      <w:sz w:val="20"/>
      <w:szCs w:val="20"/>
    </w:rPr>
  </w:style>
  <w:style w:type="paragraph" w:customStyle="1" w:styleId="C6">
    <w:name w:val="C6"/>
    <w:uiPriority w:val="99"/>
    <w:pPr>
      <w:autoSpaceDE w:val="0"/>
      <w:autoSpaceDN w:val="0"/>
      <w:adjustRightInd w:val="0"/>
      <w:spacing w:before="120" w:after="120" w:line="240" w:lineRule="auto"/>
      <w:jc w:val="center"/>
    </w:pPr>
    <w:rPr>
      <w:rFonts w:ascii="Times New Roman" w:hAnsi="Times New Roman" w:cs="Times New Roman"/>
      <w:b/>
      <w:bCs/>
      <w:sz w:val="20"/>
      <w:szCs w:val="20"/>
    </w:rPr>
  </w:style>
  <w:style w:type="paragraph" w:customStyle="1" w:styleId="C7">
    <w:name w:val="C7"/>
    <w:uiPriority w:val="99"/>
    <w:pPr>
      <w:autoSpaceDE w:val="0"/>
      <w:autoSpaceDN w:val="0"/>
      <w:adjustRightInd w:val="0"/>
      <w:spacing w:before="120" w:after="240" w:line="240" w:lineRule="auto"/>
      <w:jc w:val="center"/>
    </w:pPr>
    <w:rPr>
      <w:rFonts w:ascii="Times New Roman" w:hAnsi="Times New Roman" w:cs="Times New Roman"/>
      <w:i/>
      <w:iCs/>
      <w:sz w:val="20"/>
      <w:szCs w:val="20"/>
    </w:rPr>
  </w:style>
  <w:style w:type="paragraph" w:customStyle="1" w:styleId="M">
    <w:name w:val="M"/>
    <w:uiPriority w:val="99"/>
    <w:pPr>
      <w:autoSpaceDE w:val="0"/>
      <w:autoSpaceDN w:val="0"/>
      <w:adjustRightInd w:val="0"/>
      <w:spacing w:before="120" w:after="120" w:line="240" w:lineRule="auto"/>
      <w:jc w:val="both"/>
    </w:pPr>
    <w:rPr>
      <w:rFonts w:ascii="Times New Roman" w:hAnsi="Times New Roman" w:cs="Times New Roman"/>
      <w:i/>
      <w:iCs/>
      <w:sz w:val="20"/>
      <w:szCs w:val="20"/>
      <w:u w:val="single"/>
    </w:rPr>
  </w:style>
  <w:style w:type="paragraph" w:customStyle="1" w:styleId="LN">
    <w:name w:val="LN"/>
    <w:uiPriority w:val="99"/>
    <w:pPr>
      <w:autoSpaceDE w:val="0"/>
      <w:autoSpaceDN w:val="0"/>
      <w:adjustRightInd w:val="0"/>
      <w:spacing w:before="80" w:after="0" w:line="240" w:lineRule="auto"/>
      <w:jc w:val="both"/>
    </w:pPr>
    <w:rPr>
      <w:rFonts w:ascii="Times New Roman" w:hAnsi="Times New Roman" w:cs="Times New Roman"/>
      <w:sz w:val="20"/>
      <w:szCs w:val="20"/>
    </w:rPr>
  </w:style>
  <w:style w:type="paragraph" w:customStyle="1" w:styleId="C7B">
    <w:name w:val="C7B"/>
    <w:uiPriority w:val="99"/>
    <w:pPr>
      <w:autoSpaceDE w:val="0"/>
      <w:autoSpaceDN w:val="0"/>
      <w:adjustRightInd w:val="0"/>
      <w:spacing w:line="240" w:lineRule="auto"/>
      <w:jc w:val="center"/>
    </w:pPr>
    <w:rPr>
      <w:rFonts w:ascii="Times New Roman" w:hAnsi="Times New Roman" w:cs="Times New Roman"/>
      <w:b/>
      <w:bCs/>
      <w:sz w:val="20"/>
      <w:szCs w:val="20"/>
    </w:rPr>
  </w:style>
  <w:style w:type="paragraph" w:customStyle="1" w:styleId="DOLT">
    <w:name w:val="DOLT"/>
    <w:uiPriority w:val="99"/>
    <w:pPr>
      <w:autoSpaceDE w:val="0"/>
      <w:autoSpaceDN w:val="0"/>
      <w:adjustRightInd w:val="0"/>
      <w:spacing w:after="0" w:line="240" w:lineRule="auto"/>
      <w:ind w:firstLine="180"/>
      <w:jc w:val="both"/>
    </w:pPr>
    <w:rPr>
      <w:rFonts w:ascii="Times New Roman" w:hAnsi="Times New Roman" w:cs="Times New Roman"/>
      <w:i/>
      <w:iCs/>
      <w:sz w:val="20"/>
      <w:szCs w:val="20"/>
    </w:rPr>
  </w:style>
  <w:style w:type="paragraph" w:customStyle="1" w:styleId="BOLD">
    <w:name w:val="BOLD"/>
    <w:uiPriority w:val="99"/>
    <w:pPr>
      <w:autoSpaceDE w:val="0"/>
      <w:autoSpaceDN w:val="0"/>
      <w:adjustRightInd w:val="0"/>
      <w:spacing w:after="0" w:line="240" w:lineRule="auto"/>
      <w:ind w:firstLine="180"/>
      <w:jc w:val="both"/>
    </w:pPr>
    <w:rPr>
      <w:rFonts w:ascii="Times New Roman" w:hAnsi="Times New Roman" w:cs="Times New Roman"/>
      <w:b/>
      <w:bCs/>
      <w:sz w:val="20"/>
      <w:szCs w:val="20"/>
    </w:rPr>
  </w:style>
  <w:style w:type="paragraph" w:customStyle="1" w:styleId="KOZEP">
    <w:name w:val="KOZEP"/>
    <w:uiPriority w:val="99"/>
    <w:pPr>
      <w:autoSpaceDE w:val="0"/>
      <w:autoSpaceDN w:val="0"/>
      <w:adjustRightInd w:val="0"/>
      <w:spacing w:line="240" w:lineRule="auto"/>
      <w:jc w:val="center"/>
    </w:pPr>
    <w:rPr>
      <w:rFonts w:ascii="Times New Roman" w:hAnsi="Times New Roman" w:cs="Times New Roman"/>
      <w:sz w:val="20"/>
      <w:szCs w:val="20"/>
    </w:rPr>
  </w:style>
  <w:style w:type="paragraph" w:customStyle="1" w:styleId="BE">
    <w:name w:val="BE"/>
    <w:uiPriority w:val="99"/>
    <w:pPr>
      <w:autoSpaceDE w:val="0"/>
      <w:autoSpaceDN w:val="0"/>
      <w:adjustRightInd w:val="0"/>
      <w:spacing w:after="0" w:line="240" w:lineRule="auto"/>
    </w:pPr>
    <w:rPr>
      <w:rFonts w:ascii="Times New Roman" w:hAnsi="Times New Roman" w:cs="Times New Roman"/>
      <w:sz w:val="20"/>
      <w:szCs w:val="20"/>
    </w:rPr>
  </w:style>
  <w:style w:type="paragraph" w:customStyle="1" w:styleId="ZJ">
    <w:name w:val="ZJ"/>
    <w:uiPriority w:val="99"/>
    <w:pPr>
      <w:autoSpaceDE w:val="0"/>
      <w:autoSpaceDN w:val="0"/>
      <w:adjustRightInd w:val="0"/>
      <w:spacing w:after="0" w:line="240" w:lineRule="auto"/>
      <w:jc w:val="right"/>
    </w:pPr>
    <w:rPr>
      <w:rFonts w:ascii="Times New Roman" w:hAnsi="Times New Roman" w:cs="Times New Roman"/>
      <w:sz w:val="20"/>
      <w:szCs w:val="20"/>
    </w:rPr>
  </w:style>
  <w:style w:type="paragraph" w:customStyle="1" w:styleId="KI">
    <w:name w:val="KI"/>
    <w:uiPriority w:val="99"/>
    <w:pPr>
      <w:autoSpaceDE w:val="0"/>
      <w:autoSpaceDN w:val="0"/>
      <w:adjustRightInd w:val="0"/>
      <w:spacing w:after="0" w:line="240" w:lineRule="auto"/>
      <w:ind w:hanging="300"/>
    </w:pPr>
    <w:rPr>
      <w:rFonts w:ascii="Times New Roman" w:hAnsi="Times New Roman" w:cs="Times New Roman"/>
      <w:sz w:val="20"/>
      <w:szCs w:val="20"/>
    </w:rPr>
  </w:style>
  <w:style w:type="paragraph" w:customStyle="1" w:styleId="N1">
    <w:name w:val="N1"/>
    <w:uiPriority w:val="99"/>
    <w:pPr>
      <w:autoSpaceDE w:val="0"/>
      <w:autoSpaceDN w:val="0"/>
      <w:adjustRightInd w:val="0"/>
      <w:spacing w:before="120" w:after="60" w:line="240" w:lineRule="auto"/>
    </w:pPr>
    <w:rPr>
      <w:rFonts w:ascii="Times New Roman" w:hAnsi="Times New Roman" w:cs="Times New Roman"/>
      <w:b/>
      <w:bCs/>
      <w:sz w:val="20"/>
      <w:szCs w:val="20"/>
    </w:rPr>
  </w:style>
  <w:style w:type="paragraph" w:customStyle="1" w:styleId="N2">
    <w:name w:val="N2"/>
    <w:uiPriority w:val="99"/>
    <w:pPr>
      <w:autoSpaceDE w:val="0"/>
      <w:autoSpaceDN w:val="0"/>
      <w:adjustRightInd w:val="0"/>
      <w:spacing w:after="240" w:line="240" w:lineRule="auto"/>
    </w:pPr>
    <w:rPr>
      <w:rFonts w:ascii="Times New Roman" w:hAnsi="Times New Roman" w:cs="Times New Roman"/>
      <w:b/>
      <w:bCs/>
      <w:sz w:val="20"/>
      <w:szCs w:val="20"/>
    </w:rPr>
  </w:style>
  <w:style w:type="paragraph" w:customStyle="1" w:styleId="N3">
    <w:name w:val="N3"/>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4">
    <w:name w:val="N4"/>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5">
    <w:name w:val="N5"/>
    <w:uiPriority w:val="99"/>
    <w:pPr>
      <w:autoSpaceDE w:val="0"/>
      <w:autoSpaceDN w:val="0"/>
      <w:adjustRightInd w:val="0"/>
      <w:spacing w:before="120" w:after="120" w:line="240" w:lineRule="auto"/>
    </w:pPr>
    <w:rPr>
      <w:rFonts w:ascii="Times New Roman" w:hAnsi="Times New Roman" w:cs="Times New Roman"/>
      <w:sz w:val="20"/>
      <w:szCs w:val="20"/>
    </w:rPr>
  </w:style>
  <w:style w:type="paragraph" w:customStyle="1" w:styleId="N6">
    <w:name w:val="N6"/>
    <w:uiPriority w:val="99"/>
    <w:pPr>
      <w:autoSpaceDE w:val="0"/>
      <w:autoSpaceDN w:val="0"/>
      <w:adjustRightInd w:val="0"/>
      <w:spacing w:before="120" w:after="120" w:line="240" w:lineRule="auto"/>
    </w:pPr>
    <w:rPr>
      <w:rFonts w:ascii="Times New Roman" w:hAnsi="Times New Roman" w:cs="Times New Roman"/>
      <w:b/>
      <w:bCs/>
      <w:sz w:val="20"/>
      <w:szCs w:val="20"/>
    </w:rPr>
  </w:style>
  <w:style w:type="paragraph" w:customStyle="1" w:styleId="N7">
    <w:name w:val="N7"/>
    <w:uiPriority w:val="99"/>
    <w:pPr>
      <w:autoSpaceDE w:val="0"/>
      <w:autoSpaceDN w:val="0"/>
      <w:adjustRightInd w:val="0"/>
      <w:spacing w:before="120" w:after="240" w:line="240" w:lineRule="auto"/>
    </w:pPr>
    <w:rPr>
      <w:rFonts w:ascii="Times New Roman" w:hAnsi="Times New Roman" w:cs="Times New Roman"/>
      <w:i/>
      <w:iCs/>
      <w:sz w:val="20"/>
      <w:szCs w:val="20"/>
    </w:rPr>
  </w:style>
  <w:style w:type="paragraph" w:customStyle="1" w:styleId="U">
    <w:name w:val="U"/>
    <w:uiPriority w:val="99"/>
    <w:pPr>
      <w:autoSpaceDE w:val="0"/>
      <w:autoSpaceDN w:val="0"/>
      <w:adjustRightInd w:val="0"/>
      <w:spacing w:before="120" w:after="120" w:line="240" w:lineRule="auto"/>
    </w:pPr>
    <w:rPr>
      <w:rFonts w:ascii="Times New Roman" w:hAnsi="Times New Roman" w:cs="Times New Roman"/>
      <w:i/>
      <w:iCs/>
      <w:sz w:val="20"/>
      <w:szCs w:val="20"/>
    </w:rPr>
  </w:style>
  <w:style w:type="paragraph" w:customStyle="1" w:styleId="N7B">
    <w:name w:val="N7B"/>
    <w:uiPriority w:val="99"/>
    <w:pPr>
      <w:autoSpaceDE w:val="0"/>
      <w:autoSpaceDN w:val="0"/>
      <w:adjustRightInd w:val="0"/>
      <w:spacing w:line="240" w:lineRule="auto"/>
    </w:pPr>
    <w:rPr>
      <w:rFonts w:ascii="Times New Roman" w:hAnsi="Times New Roman" w:cs="Times New Roman"/>
      <w:b/>
      <w:bCs/>
      <w:sz w:val="20"/>
      <w:szCs w:val="20"/>
    </w:rPr>
  </w:style>
  <w:style w:type="paragraph" w:customStyle="1" w:styleId="ALA00">
    <w:name w:val="ALA00"/>
    <w:uiPriority w:val="99"/>
    <w:pPr>
      <w:autoSpaceDE w:val="0"/>
      <w:autoSpaceDN w:val="0"/>
      <w:adjustRightInd w:val="0"/>
      <w:spacing w:line="240" w:lineRule="auto"/>
      <w:jc w:val="center"/>
    </w:pPr>
    <w:rPr>
      <w:rFonts w:ascii="Times New Roman" w:hAnsi="Times New Roman" w:cs="Times New Roman"/>
      <w:sz w:val="20"/>
      <w:szCs w:val="20"/>
    </w:rPr>
  </w:style>
  <w:style w:type="paragraph" w:customStyle="1" w:styleId="T9balTablazat">
    <w:name w:val="T9 bal (Tablazat)"/>
    <w:basedOn w:val="Norml"/>
    <w:uiPriority w:val="99"/>
    <w:rsid w:val="00332A4D"/>
    <w:pPr>
      <w:suppressAutoHyphens/>
      <w:spacing w:after="0" w:line="260" w:lineRule="atLeast"/>
      <w:ind w:firstLine="0"/>
      <w:jc w:val="left"/>
      <w:textAlignment w:val="center"/>
    </w:pPr>
    <w:rPr>
      <w:rFonts w:ascii="Myriad Pro" w:eastAsiaTheme="minorHAnsi" w:hAnsi="Myriad Pro" w:cs="Myriad Pro"/>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7055</Words>
  <Characters>48686</Characters>
  <Application>Microsoft Office Word</Application>
  <DocSecurity>0</DocSecurity>
  <Lines>405</Lines>
  <Paragraphs>111</Paragraphs>
  <ScaleCrop>false</ScaleCrop>
  <Company>MHK</Company>
  <LinksUpToDate>false</LinksUpToDate>
  <CharactersWithSpaces>55630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janto.peter</dc:creator>
  <cp:lastModifiedBy>janto.peter</cp:lastModifiedBy>
  <cp:revision>3</cp:revision>
  <dcterms:created xsi:type="dcterms:W3CDTF">2022-10-03T11:22:00Z</dcterms:created>
  <dcterms:modified xsi:type="dcterms:W3CDTF">2022-11-23T12:08:00Z</dcterms:modified>
</cp:coreProperties>
</file>