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 w:type="dxa"/>
        <w:tblLayout w:type="fixed"/>
        <w:tblCellMar>
          <w:left w:w="70" w:type="dxa"/>
          <w:right w:w="70" w:type="dxa"/>
        </w:tblCellMar>
        <w:tblLook w:val="0000" w:firstRow="0" w:lastRow="0" w:firstColumn="0" w:lastColumn="0" w:noHBand="0" w:noVBand="0"/>
      </w:tblPr>
      <w:tblGrid>
        <w:gridCol w:w="638"/>
        <w:gridCol w:w="1701"/>
        <w:gridCol w:w="1276"/>
        <w:gridCol w:w="3119"/>
        <w:gridCol w:w="1417"/>
        <w:gridCol w:w="2268"/>
        <w:gridCol w:w="709"/>
        <w:gridCol w:w="1701"/>
        <w:gridCol w:w="850"/>
        <w:gridCol w:w="1418"/>
      </w:tblGrid>
      <w:tr w:rsidR="00153F2F" w:rsidTr="001552A5">
        <w:trPr>
          <w:trHeight w:val="300"/>
        </w:trPr>
        <w:tc>
          <w:tcPr>
            <w:tcW w:w="638" w:type="dxa"/>
            <w:tcBorders>
              <w:top w:val="single" w:sz="4" w:space="0" w:color="auto"/>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 xml:space="preserve"> </w:t>
            </w:r>
          </w:p>
        </w:tc>
        <w:tc>
          <w:tcPr>
            <w:tcW w:w="1701"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A</w:t>
            </w:r>
          </w:p>
        </w:tc>
        <w:tc>
          <w:tcPr>
            <w:tcW w:w="1276"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B</w:t>
            </w:r>
            <w:bookmarkStart w:id="0" w:name="_GoBack"/>
            <w:bookmarkEnd w:id="0"/>
          </w:p>
        </w:tc>
        <w:tc>
          <w:tcPr>
            <w:tcW w:w="3119"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C</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D</w:t>
            </w:r>
          </w:p>
        </w:tc>
        <w:tc>
          <w:tcPr>
            <w:tcW w:w="2268"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E</w:t>
            </w:r>
          </w:p>
        </w:tc>
        <w:tc>
          <w:tcPr>
            <w:tcW w:w="709"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w:t>
            </w:r>
          </w:p>
        </w:tc>
        <w:tc>
          <w:tcPr>
            <w:tcW w:w="1701"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G</w:t>
            </w:r>
          </w:p>
        </w:tc>
        <w:tc>
          <w:tcPr>
            <w:tcW w:w="850"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H</w:t>
            </w:r>
          </w:p>
        </w:tc>
        <w:tc>
          <w:tcPr>
            <w:tcW w:w="1418"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I</w:t>
            </w:r>
          </w:p>
        </w:tc>
      </w:tr>
      <w:tr w:rsidR="00153F2F">
        <w:trPr>
          <w:trHeight w:val="30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b/>
                <w:bCs/>
                <w:sz w:val="16"/>
                <w:szCs w:val="16"/>
              </w:rPr>
            </w:pPr>
            <w:r>
              <w:rPr>
                <w:b/>
                <w:bCs/>
                <w:sz w:val="16"/>
                <w:szCs w:val="16"/>
              </w:rPr>
              <w:t xml:space="preserve">Főcsoport </w:t>
            </w:r>
          </w:p>
        </w:tc>
        <w:tc>
          <w:tcPr>
            <w:tcW w:w="4395" w:type="dxa"/>
            <w:gridSpan w:val="2"/>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b/>
                <w:bCs/>
                <w:sz w:val="16"/>
                <w:szCs w:val="16"/>
              </w:rPr>
            </w:pPr>
            <w:r>
              <w:rPr>
                <w:b/>
                <w:bCs/>
                <w:sz w:val="16"/>
                <w:szCs w:val="16"/>
              </w:rPr>
              <w:t>Csoport</w:t>
            </w:r>
          </w:p>
        </w:tc>
        <w:tc>
          <w:tcPr>
            <w:tcW w:w="3685" w:type="dxa"/>
            <w:gridSpan w:val="2"/>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b/>
                <w:bCs/>
                <w:sz w:val="16"/>
                <w:szCs w:val="16"/>
              </w:rPr>
            </w:pPr>
            <w:r>
              <w:rPr>
                <w:b/>
                <w:bCs/>
                <w:sz w:val="16"/>
                <w:szCs w:val="16"/>
              </w:rPr>
              <w:t>Alcsoport</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b/>
                <w:bCs/>
                <w:sz w:val="16"/>
                <w:szCs w:val="16"/>
              </w:rPr>
            </w:pPr>
            <w:r>
              <w:rPr>
                <w:b/>
                <w:bCs/>
                <w:sz w:val="16"/>
                <w:szCs w:val="16"/>
              </w:rPr>
              <w:t xml:space="preserve"> </w:t>
            </w:r>
          </w:p>
        </w:tc>
        <w:tc>
          <w:tcPr>
            <w:tcW w:w="1701" w:type="dxa"/>
            <w:tcBorders>
              <w:top w:val="nil"/>
              <w:left w:val="nil"/>
              <w:bottom w:val="single" w:sz="4" w:space="0" w:color="auto"/>
              <w:right w:val="single" w:sz="4" w:space="0" w:color="auto"/>
            </w:tcBorders>
            <w:vAlign w:val="center"/>
          </w:tcPr>
          <w:p w:rsidR="00153F2F" w:rsidRDefault="00153F2F">
            <w:pPr>
              <w:widowControl w:val="0"/>
              <w:spacing w:after="0"/>
              <w:ind w:firstLine="0"/>
              <w:jc w:val="center"/>
              <w:rPr>
                <w:b/>
                <w:bCs/>
                <w:sz w:val="16"/>
                <w:szCs w:val="16"/>
              </w:rPr>
            </w:pP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b/>
                <w:bCs/>
                <w:sz w:val="16"/>
                <w:szCs w:val="16"/>
              </w:rPr>
            </w:pPr>
            <w:r>
              <w:rPr>
                <w:b/>
                <w:bCs/>
                <w:sz w:val="16"/>
                <w:szCs w:val="16"/>
              </w:rPr>
              <w:t xml:space="preserve"> </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b/>
                <w:bCs/>
                <w:sz w:val="16"/>
                <w:szCs w:val="16"/>
              </w:rPr>
            </w:pPr>
            <w:r>
              <w:rPr>
                <w:b/>
                <w:bCs/>
                <w:sz w:val="16"/>
                <w:szCs w:val="16"/>
              </w:rPr>
              <w:t xml:space="preserve"> </w:t>
            </w:r>
          </w:p>
        </w:tc>
      </w:tr>
      <w:tr w:rsidR="00A26D52">
        <w:trPr>
          <w:trHeight w:val="1695"/>
        </w:trPr>
        <w:tc>
          <w:tcPr>
            <w:tcW w:w="638" w:type="dxa"/>
            <w:tcBorders>
              <w:top w:val="nil"/>
              <w:left w:val="single" w:sz="4" w:space="0" w:color="auto"/>
              <w:bottom w:val="single" w:sz="4" w:space="0" w:color="auto"/>
              <w:right w:val="single" w:sz="4" w:space="0" w:color="auto"/>
            </w:tcBorders>
            <w:vAlign w:val="center"/>
          </w:tcPr>
          <w:p w:rsidR="00A26D52" w:rsidRDefault="00A26D52">
            <w:pPr>
              <w:widowControl w:val="0"/>
              <w:spacing w:after="0"/>
              <w:ind w:firstLine="0"/>
              <w:jc w:val="center"/>
              <w:rPr>
                <w:sz w:val="16"/>
                <w:szCs w:val="16"/>
              </w:rPr>
            </w:pPr>
            <w:r>
              <w:rPr>
                <w:sz w:val="16"/>
                <w:szCs w:val="16"/>
              </w:rPr>
              <w:t>2</w:t>
            </w:r>
          </w:p>
        </w:tc>
        <w:tc>
          <w:tcPr>
            <w:tcW w:w="1701" w:type="dxa"/>
            <w:tcBorders>
              <w:top w:val="nil"/>
              <w:left w:val="nil"/>
              <w:bottom w:val="single" w:sz="4" w:space="0" w:color="auto"/>
              <w:right w:val="single" w:sz="4" w:space="0" w:color="auto"/>
            </w:tcBorders>
            <w:vAlign w:val="center"/>
          </w:tcPr>
          <w:p w:rsidR="00A26D52" w:rsidRPr="00A26D52" w:rsidRDefault="00A26D52" w:rsidP="00A26D52">
            <w:pPr>
              <w:widowControl w:val="0"/>
              <w:spacing w:after="0"/>
              <w:ind w:firstLine="0"/>
              <w:jc w:val="center"/>
              <w:rPr>
                <w:b/>
                <w:bCs/>
                <w:sz w:val="16"/>
                <w:szCs w:val="16"/>
              </w:rPr>
            </w:pPr>
            <w:r w:rsidRPr="00A26D52">
              <w:rPr>
                <w:b/>
                <w:bCs/>
                <w:sz w:val="16"/>
                <w:szCs w:val="16"/>
              </w:rPr>
              <w:t>Megnevezése és a főcsoporthoz tartozó típusos kőzet, egyéb anyag vagy energia általános földtani leírása</w:t>
            </w:r>
          </w:p>
        </w:tc>
        <w:tc>
          <w:tcPr>
            <w:tcW w:w="1276" w:type="dxa"/>
            <w:tcBorders>
              <w:top w:val="nil"/>
              <w:left w:val="nil"/>
              <w:bottom w:val="single" w:sz="4" w:space="0" w:color="auto"/>
              <w:right w:val="single" w:sz="4" w:space="0" w:color="auto"/>
            </w:tcBorders>
            <w:vAlign w:val="center"/>
          </w:tcPr>
          <w:p w:rsidR="00A26D52" w:rsidRPr="00A26D52" w:rsidRDefault="00A26D52" w:rsidP="00A26D52">
            <w:pPr>
              <w:widowControl w:val="0"/>
              <w:spacing w:after="0"/>
              <w:ind w:firstLine="0"/>
              <w:jc w:val="center"/>
              <w:rPr>
                <w:b/>
                <w:bCs/>
                <w:sz w:val="16"/>
                <w:szCs w:val="16"/>
              </w:rPr>
            </w:pPr>
            <w:r w:rsidRPr="00A26D52">
              <w:rPr>
                <w:b/>
                <w:bCs/>
                <w:sz w:val="16"/>
                <w:szCs w:val="16"/>
              </w:rPr>
              <w:t>Megnevezése</w:t>
            </w:r>
          </w:p>
        </w:tc>
        <w:tc>
          <w:tcPr>
            <w:tcW w:w="3119" w:type="dxa"/>
            <w:tcBorders>
              <w:top w:val="nil"/>
              <w:left w:val="nil"/>
              <w:bottom w:val="single" w:sz="4" w:space="0" w:color="auto"/>
              <w:right w:val="single" w:sz="4" w:space="0" w:color="auto"/>
            </w:tcBorders>
            <w:vAlign w:val="center"/>
          </w:tcPr>
          <w:p w:rsidR="00A26D52" w:rsidRPr="00A26D52" w:rsidRDefault="00A26D52" w:rsidP="00A26D52">
            <w:pPr>
              <w:widowControl w:val="0"/>
              <w:spacing w:after="0"/>
              <w:ind w:firstLine="0"/>
              <w:jc w:val="center"/>
              <w:rPr>
                <w:b/>
                <w:bCs/>
                <w:sz w:val="16"/>
                <w:szCs w:val="16"/>
              </w:rPr>
            </w:pPr>
            <w:r w:rsidRPr="00A26D52">
              <w:rPr>
                <w:b/>
                <w:bCs/>
                <w:sz w:val="16"/>
                <w:szCs w:val="16"/>
              </w:rPr>
              <w:t>A csoporthoz tartozó típusos kőzet, egyéb anyag vagy energia általános földtani leírása</w:t>
            </w:r>
          </w:p>
        </w:tc>
        <w:tc>
          <w:tcPr>
            <w:tcW w:w="1417" w:type="dxa"/>
            <w:tcBorders>
              <w:top w:val="nil"/>
              <w:left w:val="nil"/>
              <w:bottom w:val="single" w:sz="4" w:space="0" w:color="auto"/>
              <w:right w:val="single" w:sz="4" w:space="0" w:color="auto"/>
            </w:tcBorders>
            <w:vAlign w:val="center"/>
          </w:tcPr>
          <w:p w:rsidR="00A26D52" w:rsidRPr="00A26D52" w:rsidRDefault="00A26D52" w:rsidP="00A26D52">
            <w:pPr>
              <w:widowControl w:val="0"/>
              <w:spacing w:after="0"/>
              <w:ind w:firstLine="0"/>
              <w:jc w:val="center"/>
              <w:rPr>
                <w:b/>
                <w:bCs/>
                <w:sz w:val="16"/>
                <w:szCs w:val="16"/>
              </w:rPr>
            </w:pPr>
            <w:r w:rsidRPr="00A26D52">
              <w:rPr>
                <w:b/>
                <w:bCs/>
                <w:sz w:val="16"/>
                <w:szCs w:val="16"/>
              </w:rPr>
              <w:t>Megnevezése</w:t>
            </w:r>
          </w:p>
        </w:tc>
        <w:tc>
          <w:tcPr>
            <w:tcW w:w="2268" w:type="dxa"/>
            <w:tcBorders>
              <w:top w:val="nil"/>
              <w:left w:val="nil"/>
              <w:bottom w:val="single" w:sz="4" w:space="0" w:color="auto"/>
              <w:right w:val="single" w:sz="4" w:space="0" w:color="auto"/>
            </w:tcBorders>
            <w:vAlign w:val="center"/>
          </w:tcPr>
          <w:p w:rsidR="00A26D52" w:rsidRPr="00A26D52" w:rsidRDefault="00A26D52" w:rsidP="00A26D52">
            <w:pPr>
              <w:widowControl w:val="0"/>
              <w:spacing w:after="0"/>
              <w:ind w:firstLine="0"/>
              <w:jc w:val="center"/>
              <w:rPr>
                <w:b/>
                <w:bCs/>
                <w:sz w:val="16"/>
                <w:szCs w:val="16"/>
              </w:rPr>
            </w:pPr>
            <w:r w:rsidRPr="00A26D52">
              <w:rPr>
                <w:b/>
                <w:bCs/>
                <w:sz w:val="16"/>
                <w:szCs w:val="16"/>
              </w:rPr>
              <w:t>Az alcsoporthoz tartozó típusos kőzet általános földtani leírása</w:t>
            </w:r>
          </w:p>
        </w:tc>
        <w:tc>
          <w:tcPr>
            <w:tcW w:w="709" w:type="dxa"/>
            <w:tcBorders>
              <w:top w:val="nil"/>
              <w:left w:val="nil"/>
              <w:bottom w:val="single" w:sz="4" w:space="0" w:color="auto"/>
              <w:right w:val="single" w:sz="4" w:space="0" w:color="auto"/>
            </w:tcBorders>
            <w:vAlign w:val="center"/>
          </w:tcPr>
          <w:p w:rsidR="00A26D52" w:rsidRPr="00A26D52" w:rsidRDefault="00A26D52" w:rsidP="00A26D52">
            <w:pPr>
              <w:widowControl w:val="0"/>
              <w:spacing w:after="0"/>
              <w:ind w:firstLine="0"/>
              <w:jc w:val="center"/>
              <w:rPr>
                <w:b/>
                <w:bCs/>
                <w:sz w:val="16"/>
                <w:szCs w:val="16"/>
              </w:rPr>
            </w:pPr>
            <w:r w:rsidRPr="00A26D52">
              <w:rPr>
                <w:b/>
                <w:bCs/>
                <w:sz w:val="16"/>
                <w:szCs w:val="16"/>
              </w:rPr>
              <w:t>Kód</w:t>
            </w:r>
          </w:p>
        </w:tc>
        <w:tc>
          <w:tcPr>
            <w:tcW w:w="1701" w:type="dxa"/>
            <w:tcBorders>
              <w:top w:val="nil"/>
              <w:left w:val="nil"/>
              <w:bottom w:val="single" w:sz="4" w:space="0" w:color="auto"/>
              <w:right w:val="single" w:sz="4" w:space="0" w:color="auto"/>
            </w:tcBorders>
            <w:vAlign w:val="center"/>
          </w:tcPr>
          <w:p w:rsidR="00A26D52" w:rsidRPr="00A26D52" w:rsidRDefault="00A26D52" w:rsidP="00A26D52">
            <w:pPr>
              <w:widowControl w:val="0"/>
              <w:spacing w:after="0"/>
              <w:ind w:firstLine="0"/>
              <w:jc w:val="center"/>
              <w:rPr>
                <w:b/>
                <w:bCs/>
                <w:sz w:val="16"/>
                <w:szCs w:val="16"/>
              </w:rPr>
            </w:pPr>
            <w:r w:rsidRPr="00A26D52">
              <w:rPr>
                <w:b/>
                <w:bCs/>
                <w:sz w:val="16"/>
                <w:szCs w:val="16"/>
              </w:rPr>
              <w:t>A nyersanyag fajlagos értéke</w:t>
            </w:r>
          </w:p>
        </w:tc>
        <w:tc>
          <w:tcPr>
            <w:tcW w:w="850" w:type="dxa"/>
            <w:tcBorders>
              <w:top w:val="nil"/>
              <w:left w:val="nil"/>
              <w:bottom w:val="single" w:sz="4" w:space="0" w:color="auto"/>
              <w:right w:val="single" w:sz="4" w:space="0" w:color="auto"/>
            </w:tcBorders>
            <w:vAlign w:val="center"/>
          </w:tcPr>
          <w:p w:rsidR="00A26D52" w:rsidRPr="00A26D52" w:rsidRDefault="00A26D52" w:rsidP="00A26D52">
            <w:pPr>
              <w:widowControl w:val="0"/>
              <w:spacing w:after="0"/>
              <w:ind w:firstLine="0"/>
              <w:jc w:val="center"/>
              <w:rPr>
                <w:b/>
                <w:bCs/>
                <w:sz w:val="16"/>
                <w:szCs w:val="16"/>
              </w:rPr>
            </w:pPr>
            <w:r w:rsidRPr="00A26D52">
              <w:rPr>
                <w:b/>
                <w:bCs/>
                <w:sz w:val="16"/>
                <w:szCs w:val="16"/>
              </w:rPr>
              <w:t>Mértékegység</w:t>
            </w:r>
          </w:p>
        </w:tc>
        <w:tc>
          <w:tcPr>
            <w:tcW w:w="1418" w:type="dxa"/>
            <w:tcBorders>
              <w:top w:val="nil"/>
              <w:left w:val="nil"/>
              <w:bottom w:val="single" w:sz="4" w:space="0" w:color="auto"/>
              <w:right w:val="single" w:sz="4" w:space="0" w:color="auto"/>
            </w:tcBorders>
            <w:vAlign w:val="center"/>
          </w:tcPr>
          <w:p w:rsidR="00A26D52" w:rsidRPr="00A26D52" w:rsidRDefault="00A26D52" w:rsidP="00A26D52">
            <w:pPr>
              <w:widowControl w:val="0"/>
              <w:spacing w:after="0"/>
              <w:ind w:firstLine="0"/>
              <w:jc w:val="center"/>
              <w:rPr>
                <w:b/>
                <w:bCs/>
                <w:sz w:val="16"/>
                <w:szCs w:val="16"/>
              </w:rPr>
            </w:pPr>
            <w:r w:rsidRPr="00A26D52">
              <w:rPr>
                <w:b/>
                <w:bCs/>
                <w:sz w:val="16"/>
                <w:szCs w:val="16"/>
              </w:rPr>
              <w:t xml:space="preserve">A 64/2013. (III. 4.) </w:t>
            </w:r>
            <w:r w:rsidRPr="00A26D52">
              <w:rPr>
                <w:b/>
                <w:bCs/>
                <w:sz w:val="16"/>
                <w:szCs w:val="16"/>
              </w:rPr>
              <w:br/>
              <w:t>Korm. rendelet hatálybalépését megelőzően bevallott ásványi nyersanyag kódszáma és megnevezése</w:t>
            </w:r>
          </w:p>
        </w:tc>
      </w:tr>
      <w:tr w:rsidR="00153F2F">
        <w:trPr>
          <w:cantSplit/>
          <w:trHeight w:val="99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w:t>
            </w:r>
          </w:p>
        </w:tc>
        <w:tc>
          <w:tcPr>
            <w:tcW w:w="1701"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b/>
                <w:bCs/>
                <w:sz w:val="16"/>
                <w:szCs w:val="16"/>
              </w:rPr>
              <w:t>1. Mélységi magmás (</w:t>
            </w:r>
            <w:proofErr w:type="spellStart"/>
            <w:r>
              <w:rPr>
                <w:b/>
                <w:bCs/>
                <w:sz w:val="16"/>
                <w:szCs w:val="16"/>
              </w:rPr>
              <w:t>intruzív</w:t>
            </w:r>
            <w:proofErr w:type="spellEnd"/>
            <w:r>
              <w:rPr>
                <w:b/>
                <w:bCs/>
                <w:sz w:val="16"/>
                <w:szCs w:val="16"/>
              </w:rPr>
              <w:t xml:space="preserve">) kőzetek. </w:t>
            </w:r>
            <w:r>
              <w:rPr>
                <w:sz w:val="16"/>
                <w:szCs w:val="16"/>
              </w:rPr>
              <w:t xml:space="preserve">A magma felszín alatti, több km mélységben történő megszilárdulásával létrejött kőzetek. </w:t>
            </w:r>
          </w:p>
        </w:tc>
        <w:tc>
          <w:tcPr>
            <w:tcW w:w="1276"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rPr>
                <w:b/>
                <w:bCs/>
                <w:sz w:val="16"/>
                <w:szCs w:val="16"/>
              </w:rPr>
            </w:pPr>
            <w:r>
              <w:rPr>
                <w:b/>
                <w:bCs/>
                <w:sz w:val="16"/>
                <w:szCs w:val="16"/>
              </w:rPr>
              <w:t xml:space="preserve">1. Gránit  </w:t>
            </w:r>
          </w:p>
        </w:tc>
        <w:tc>
          <w:tcPr>
            <w:tcW w:w="3119"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Olyan mélységi magmás (</w:t>
            </w:r>
            <w:proofErr w:type="spellStart"/>
            <w:r>
              <w:rPr>
                <w:sz w:val="16"/>
                <w:szCs w:val="16"/>
              </w:rPr>
              <w:t>intruzív</w:t>
            </w:r>
            <w:proofErr w:type="spellEnd"/>
            <w:r>
              <w:rPr>
                <w:sz w:val="16"/>
                <w:szCs w:val="16"/>
              </w:rPr>
              <w:t>) kőzet amelynek SiO</w:t>
            </w:r>
            <w:r>
              <w:rPr>
                <w:sz w:val="16"/>
                <w:szCs w:val="16"/>
                <w:vertAlign w:val="subscript"/>
              </w:rPr>
              <w:t>2</w:t>
            </w:r>
            <w:r>
              <w:rPr>
                <w:sz w:val="16"/>
                <w:szCs w:val="16"/>
              </w:rPr>
              <w:t xml:space="preserve"> tartalma 70% körüli, (± 10%) kőzetalkotó ásványok csökkenő mennyiségi sorrendben: K-földpát, kvarc, </w:t>
            </w:r>
            <w:proofErr w:type="spellStart"/>
            <w:r>
              <w:rPr>
                <w:sz w:val="16"/>
                <w:szCs w:val="16"/>
              </w:rPr>
              <w:t>Na-Ca-plagioklász</w:t>
            </w:r>
            <w:proofErr w:type="spellEnd"/>
            <w:r>
              <w:rPr>
                <w:sz w:val="16"/>
                <w:szCs w:val="16"/>
              </w:rPr>
              <w:t xml:space="preserve">, biotit, esetleg </w:t>
            </w:r>
            <w:proofErr w:type="spellStart"/>
            <w:r>
              <w:rPr>
                <w:sz w:val="16"/>
                <w:szCs w:val="16"/>
              </w:rPr>
              <w:t>amfibólés</w:t>
            </w:r>
            <w:proofErr w:type="spellEnd"/>
            <w:r>
              <w:rPr>
                <w:sz w:val="16"/>
                <w:szCs w:val="16"/>
              </w:rPr>
              <w:t xml:space="preserve">/vagy rombos </w:t>
            </w:r>
            <w:proofErr w:type="spellStart"/>
            <w:r>
              <w:rPr>
                <w:sz w:val="16"/>
                <w:szCs w:val="16"/>
              </w:rPr>
              <w:t>piroxén</w:t>
            </w:r>
            <w:proofErr w:type="spellEnd"/>
            <w:r>
              <w:rPr>
                <w:sz w:val="16"/>
                <w:szCs w:val="16"/>
              </w:rPr>
              <w:t xml:space="preserve">. Szövete durvaszemcsés, </w:t>
            </w:r>
            <w:proofErr w:type="spellStart"/>
            <w:r>
              <w:rPr>
                <w:sz w:val="16"/>
                <w:szCs w:val="16"/>
              </w:rPr>
              <w:t>holokristályos</w:t>
            </w:r>
            <w:proofErr w:type="spellEnd"/>
            <w:r>
              <w:rPr>
                <w:sz w:val="16"/>
                <w:szCs w:val="16"/>
              </w:rPr>
              <w:t xml:space="preserve">, </w:t>
            </w:r>
            <w:proofErr w:type="spellStart"/>
            <w:r>
              <w:rPr>
                <w:sz w:val="16"/>
                <w:szCs w:val="16"/>
              </w:rPr>
              <w:t>ekvigranuláris</w:t>
            </w:r>
            <w:proofErr w:type="spellEnd"/>
            <w:r>
              <w:rPr>
                <w:sz w:val="16"/>
                <w:szCs w:val="16"/>
              </w:rPr>
              <w:t xml:space="preserve">. </w:t>
            </w: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rPr>
                <w:b/>
                <w:bCs/>
                <w:sz w:val="16"/>
                <w:szCs w:val="16"/>
              </w:rPr>
            </w:pPr>
            <w:r>
              <w:rPr>
                <w:b/>
                <w:bCs/>
                <w:sz w:val="16"/>
                <w:szCs w:val="16"/>
              </w:rPr>
              <w:t>1. Tömb gránit</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Azon gránit nyersanyag, amely ép, tömör legalább 40%-ban 0,25m</w:t>
            </w:r>
            <w:r>
              <w:rPr>
                <w:sz w:val="16"/>
                <w:szCs w:val="16"/>
                <w:vertAlign w:val="superscript"/>
              </w:rPr>
              <w:t>3</w:t>
            </w:r>
            <w:r>
              <w:rPr>
                <w:sz w:val="16"/>
                <w:szCs w:val="16"/>
              </w:rPr>
              <w:t xml:space="preserve">-nél nagyobb tömbökben fejthető.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1011</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6 620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rPr>
                <w:sz w:val="16"/>
                <w:szCs w:val="16"/>
              </w:rPr>
            </w:pPr>
            <w:r>
              <w:rPr>
                <w:sz w:val="16"/>
                <w:szCs w:val="16"/>
              </w:rPr>
              <w:t xml:space="preserve"> </w:t>
            </w:r>
          </w:p>
        </w:tc>
      </w:tr>
      <w:tr w:rsidR="00153F2F">
        <w:trPr>
          <w:cantSplit/>
          <w:trHeight w:val="63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4</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rPr>
                <w:b/>
                <w:bCs/>
                <w:sz w:val="16"/>
                <w:szCs w:val="16"/>
              </w:rPr>
            </w:pPr>
            <w:r>
              <w:rPr>
                <w:b/>
                <w:bCs/>
                <w:sz w:val="16"/>
                <w:szCs w:val="16"/>
              </w:rPr>
              <w:t xml:space="preserve">2. Gránit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 gránit csoport leírásánál szereplő leírással azonos.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1012</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5 420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5100 Gránit</w:t>
            </w:r>
          </w:p>
        </w:tc>
      </w:tr>
      <w:tr w:rsidR="00153F2F">
        <w:trPr>
          <w:cantSplit/>
          <w:trHeight w:val="118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rPr>
                <w:b/>
                <w:bCs/>
                <w:sz w:val="16"/>
                <w:szCs w:val="16"/>
              </w:rPr>
            </w:pPr>
            <w:r>
              <w:rPr>
                <w:b/>
                <w:bCs/>
                <w:sz w:val="16"/>
                <w:szCs w:val="16"/>
              </w:rPr>
              <w:t>3. Gránit murva</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Azon gránit nyersanyag, amely tektonikus vagy </w:t>
            </w:r>
            <w:proofErr w:type="spellStart"/>
            <w:r>
              <w:rPr>
                <w:sz w:val="16"/>
                <w:szCs w:val="16"/>
              </w:rPr>
              <w:t>exogén</w:t>
            </w:r>
            <w:proofErr w:type="spellEnd"/>
            <w:r>
              <w:rPr>
                <w:sz w:val="16"/>
                <w:szCs w:val="16"/>
              </w:rPr>
              <w:t xml:space="preserve"> folyamatok eredményeképpen 25 cm alatti méretbe felaprózódott.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1013</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1 200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5100 Mállott gránit</w:t>
            </w:r>
          </w:p>
        </w:tc>
      </w:tr>
      <w:tr w:rsidR="00153F2F">
        <w:trPr>
          <w:cantSplit/>
          <w:trHeight w:val="120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6</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rPr>
                <w:b/>
                <w:bCs/>
                <w:sz w:val="16"/>
                <w:szCs w:val="16"/>
              </w:rPr>
            </w:pPr>
            <w:r>
              <w:rPr>
                <w:b/>
                <w:bCs/>
                <w:sz w:val="16"/>
                <w:szCs w:val="16"/>
              </w:rPr>
              <w:t xml:space="preserve">4. Gránit </w:t>
            </w:r>
            <w:proofErr w:type="spellStart"/>
            <w:r>
              <w:rPr>
                <w:b/>
                <w:bCs/>
                <w:sz w:val="16"/>
                <w:szCs w:val="16"/>
              </w:rPr>
              <w:t>aplit</w:t>
            </w:r>
            <w:proofErr w:type="spellEnd"/>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A gránitban jelentkező nagy földpát (Ortoklász+</w:t>
            </w:r>
            <w:proofErr w:type="spellStart"/>
            <w:r>
              <w:rPr>
                <w:sz w:val="16"/>
                <w:szCs w:val="16"/>
              </w:rPr>
              <w:t>plagioklász</w:t>
            </w:r>
            <w:proofErr w:type="spellEnd"/>
            <w:r>
              <w:rPr>
                <w:sz w:val="16"/>
                <w:szCs w:val="16"/>
              </w:rPr>
              <w:t xml:space="preserve"> min 50%, ill. K</w:t>
            </w:r>
            <w:r>
              <w:rPr>
                <w:sz w:val="16"/>
                <w:szCs w:val="16"/>
                <w:vertAlign w:val="subscript"/>
              </w:rPr>
              <w:t>2</w:t>
            </w:r>
            <w:r>
              <w:rPr>
                <w:sz w:val="16"/>
                <w:szCs w:val="16"/>
              </w:rPr>
              <w:t>O+Na</w:t>
            </w:r>
            <w:r>
              <w:rPr>
                <w:sz w:val="16"/>
                <w:szCs w:val="16"/>
                <w:vertAlign w:val="subscript"/>
              </w:rPr>
              <w:t>2</w:t>
            </w:r>
            <w:r>
              <w:rPr>
                <w:sz w:val="16"/>
                <w:szCs w:val="16"/>
              </w:rPr>
              <w:t xml:space="preserve">O min. 5,5%) és kvarc tartalmú telér kőzet.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1014</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10 800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207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rPr>
                <w:b/>
                <w:bCs/>
                <w:sz w:val="16"/>
                <w:szCs w:val="16"/>
              </w:rPr>
            </w:pPr>
            <w:r>
              <w:rPr>
                <w:b/>
                <w:bCs/>
                <w:sz w:val="16"/>
                <w:szCs w:val="16"/>
              </w:rPr>
              <w:t xml:space="preserve">2. </w:t>
            </w:r>
            <w:proofErr w:type="spellStart"/>
            <w:r>
              <w:rPr>
                <w:b/>
                <w:bCs/>
                <w:sz w:val="16"/>
                <w:szCs w:val="16"/>
              </w:rPr>
              <w:t>Diorit</w:t>
            </w:r>
            <w:proofErr w:type="spellEnd"/>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Olyan mélységi magmás (</w:t>
            </w:r>
            <w:proofErr w:type="spellStart"/>
            <w:r>
              <w:rPr>
                <w:sz w:val="16"/>
                <w:szCs w:val="16"/>
              </w:rPr>
              <w:t>intruzív</w:t>
            </w:r>
            <w:proofErr w:type="spellEnd"/>
            <w:r>
              <w:rPr>
                <w:sz w:val="16"/>
                <w:szCs w:val="16"/>
              </w:rPr>
              <w:t>) kőzet amelynek SiO</w:t>
            </w:r>
            <w:r>
              <w:rPr>
                <w:sz w:val="16"/>
                <w:szCs w:val="16"/>
                <w:vertAlign w:val="subscript"/>
              </w:rPr>
              <w:t>2</w:t>
            </w:r>
            <w:r>
              <w:rPr>
                <w:sz w:val="16"/>
                <w:szCs w:val="16"/>
              </w:rPr>
              <w:t xml:space="preserve"> tartalma 60% körüli, (± 10%) kőzetalkotó ásványok csökkenő mennyiségi sorrendben: </w:t>
            </w:r>
            <w:proofErr w:type="spellStart"/>
            <w:r>
              <w:rPr>
                <w:sz w:val="16"/>
                <w:szCs w:val="16"/>
              </w:rPr>
              <w:t>Ca-Na-plagioklász</w:t>
            </w:r>
            <w:proofErr w:type="spellEnd"/>
            <w:r>
              <w:rPr>
                <w:sz w:val="16"/>
                <w:szCs w:val="16"/>
              </w:rPr>
              <w:t xml:space="preserve">, </w:t>
            </w:r>
            <w:proofErr w:type="spellStart"/>
            <w:r>
              <w:rPr>
                <w:sz w:val="16"/>
                <w:szCs w:val="16"/>
              </w:rPr>
              <w:t>amfiból</w:t>
            </w:r>
            <w:proofErr w:type="spellEnd"/>
            <w:r>
              <w:rPr>
                <w:sz w:val="16"/>
                <w:szCs w:val="16"/>
              </w:rPr>
              <w:t>, és/</w:t>
            </w:r>
            <w:proofErr w:type="spellStart"/>
            <w:r>
              <w:rPr>
                <w:sz w:val="16"/>
                <w:szCs w:val="16"/>
              </w:rPr>
              <w:t>vagypiroxén</w:t>
            </w:r>
            <w:proofErr w:type="spellEnd"/>
            <w:r>
              <w:rPr>
                <w:sz w:val="16"/>
                <w:szCs w:val="16"/>
              </w:rPr>
              <w:t xml:space="preserve">, esetleg kvarc. Szövete durvaszemcsés, </w:t>
            </w:r>
            <w:proofErr w:type="spellStart"/>
            <w:r>
              <w:rPr>
                <w:sz w:val="16"/>
                <w:szCs w:val="16"/>
              </w:rPr>
              <w:t>holokristályos</w:t>
            </w:r>
            <w:proofErr w:type="spellEnd"/>
            <w:r>
              <w:rPr>
                <w:sz w:val="16"/>
                <w:szCs w:val="16"/>
              </w:rPr>
              <w:t xml:space="preserve">, </w:t>
            </w:r>
            <w:proofErr w:type="spellStart"/>
            <w:r>
              <w:rPr>
                <w:sz w:val="16"/>
                <w:szCs w:val="16"/>
              </w:rPr>
              <w:t>ekvigranuláris</w:t>
            </w:r>
            <w:proofErr w:type="spellEnd"/>
            <w:r>
              <w:rPr>
                <w:sz w:val="16"/>
                <w:szCs w:val="16"/>
              </w:rPr>
              <w:t xml:space="preserve">.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1020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5 420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208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8</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rPr>
                <w:b/>
                <w:bCs/>
                <w:sz w:val="16"/>
                <w:szCs w:val="16"/>
              </w:rPr>
            </w:pPr>
            <w:r>
              <w:rPr>
                <w:b/>
                <w:bCs/>
                <w:sz w:val="16"/>
                <w:szCs w:val="16"/>
              </w:rPr>
              <w:t xml:space="preserve">3. Gabbró </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Olyan mélységi magmás (</w:t>
            </w:r>
            <w:proofErr w:type="spellStart"/>
            <w:r>
              <w:rPr>
                <w:sz w:val="16"/>
                <w:szCs w:val="16"/>
              </w:rPr>
              <w:t>intruzív</w:t>
            </w:r>
            <w:proofErr w:type="spellEnd"/>
            <w:r>
              <w:rPr>
                <w:sz w:val="16"/>
                <w:szCs w:val="16"/>
              </w:rPr>
              <w:t>) kőzet amelynek SiO</w:t>
            </w:r>
            <w:r>
              <w:rPr>
                <w:sz w:val="16"/>
                <w:szCs w:val="16"/>
                <w:vertAlign w:val="subscript"/>
              </w:rPr>
              <w:t>2</w:t>
            </w:r>
            <w:r>
              <w:rPr>
                <w:sz w:val="16"/>
                <w:szCs w:val="16"/>
              </w:rPr>
              <w:t xml:space="preserve"> tartalma 50% körüli, (± 10%) kőzetalkotó ásványok csökkenő mennyiségi sorrendben: </w:t>
            </w:r>
            <w:proofErr w:type="spellStart"/>
            <w:r>
              <w:rPr>
                <w:sz w:val="16"/>
                <w:szCs w:val="16"/>
              </w:rPr>
              <w:t>olivin</w:t>
            </w:r>
            <w:proofErr w:type="spellEnd"/>
            <w:r>
              <w:rPr>
                <w:sz w:val="16"/>
                <w:szCs w:val="16"/>
              </w:rPr>
              <w:t xml:space="preserve">, </w:t>
            </w:r>
            <w:proofErr w:type="spellStart"/>
            <w:r>
              <w:rPr>
                <w:sz w:val="16"/>
                <w:szCs w:val="16"/>
              </w:rPr>
              <w:t>piroxén</w:t>
            </w:r>
            <w:proofErr w:type="spellEnd"/>
            <w:r>
              <w:rPr>
                <w:sz w:val="16"/>
                <w:szCs w:val="16"/>
              </w:rPr>
              <w:t xml:space="preserve"> és/vagy </w:t>
            </w:r>
            <w:proofErr w:type="spellStart"/>
            <w:r>
              <w:rPr>
                <w:sz w:val="16"/>
                <w:szCs w:val="16"/>
              </w:rPr>
              <w:t>amfiból</w:t>
            </w:r>
            <w:proofErr w:type="spellEnd"/>
            <w:r>
              <w:rPr>
                <w:sz w:val="16"/>
                <w:szCs w:val="16"/>
              </w:rPr>
              <w:t xml:space="preserve">, </w:t>
            </w:r>
            <w:r>
              <w:rPr>
                <w:sz w:val="16"/>
                <w:szCs w:val="16"/>
              </w:rPr>
              <w:br/>
            </w:r>
            <w:proofErr w:type="spellStart"/>
            <w:r>
              <w:rPr>
                <w:sz w:val="16"/>
                <w:szCs w:val="16"/>
              </w:rPr>
              <w:t>Ca-plagioklász</w:t>
            </w:r>
            <w:proofErr w:type="spellEnd"/>
            <w:r>
              <w:rPr>
                <w:sz w:val="16"/>
                <w:szCs w:val="16"/>
              </w:rPr>
              <w:t xml:space="preserve">. Szövete durvaszemcsés, </w:t>
            </w:r>
            <w:proofErr w:type="spellStart"/>
            <w:r>
              <w:rPr>
                <w:sz w:val="16"/>
                <w:szCs w:val="16"/>
              </w:rPr>
              <w:t>holokristályos</w:t>
            </w:r>
            <w:proofErr w:type="spellEnd"/>
            <w:r>
              <w:rPr>
                <w:sz w:val="16"/>
                <w:szCs w:val="16"/>
              </w:rPr>
              <w:t xml:space="preserve">, </w:t>
            </w:r>
            <w:proofErr w:type="spellStart"/>
            <w:r>
              <w:rPr>
                <w:sz w:val="16"/>
                <w:szCs w:val="16"/>
              </w:rPr>
              <w:t>ekvigranuláris</w:t>
            </w:r>
            <w:proofErr w:type="spellEnd"/>
            <w:r>
              <w:rPr>
                <w:sz w:val="16"/>
                <w:szCs w:val="16"/>
              </w:rPr>
              <w:t xml:space="preserve">.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1030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8 420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171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9</w:t>
            </w:r>
          </w:p>
        </w:tc>
        <w:tc>
          <w:tcPr>
            <w:tcW w:w="1701"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b/>
                <w:bCs/>
                <w:sz w:val="16"/>
                <w:szCs w:val="16"/>
              </w:rPr>
              <w:t xml:space="preserve">2. Kiömlési (vulkáni) és </w:t>
            </w:r>
            <w:proofErr w:type="spellStart"/>
            <w:r>
              <w:rPr>
                <w:b/>
                <w:bCs/>
                <w:sz w:val="16"/>
                <w:szCs w:val="16"/>
              </w:rPr>
              <w:t>Szubvulkáni</w:t>
            </w:r>
            <w:proofErr w:type="spellEnd"/>
            <w:r>
              <w:rPr>
                <w:b/>
                <w:bCs/>
                <w:sz w:val="16"/>
                <w:szCs w:val="16"/>
              </w:rPr>
              <w:t xml:space="preserve"> kőzetek. </w:t>
            </w:r>
          </w:p>
          <w:p w:rsidR="00153F2F" w:rsidRDefault="00604D51">
            <w:pPr>
              <w:widowControl w:val="0"/>
              <w:spacing w:after="0"/>
              <w:ind w:firstLine="0"/>
              <w:jc w:val="left"/>
              <w:rPr>
                <w:sz w:val="16"/>
                <w:szCs w:val="16"/>
              </w:rPr>
            </w:pPr>
            <w:r>
              <w:rPr>
                <w:sz w:val="16"/>
                <w:szCs w:val="16"/>
              </w:rPr>
              <w:t xml:space="preserve">Kiömlési (vulkáni) kőzetek: A folyékony lávából a felszínen (vagy annak közelében) megszilárdult magmás kőzetek. </w:t>
            </w:r>
          </w:p>
          <w:p w:rsidR="00153F2F" w:rsidRDefault="00604D51">
            <w:pPr>
              <w:widowControl w:val="0"/>
              <w:spacing w:after="0"/>
              <w:ind w:firstLine="0"/>
              <w:jc w:val="left"/>
              <w:rPr>
                <w:sz w:val="16"/>
                <w:szCs w:val="16"/>
              </w:rPr>
            </w:pPr>
            <w:proofErr w:type="spellStart"/>
            <w:r>
              <w:rPr>
                <w:sz w:val="16"/>
                <w:szCs w:val="16"/>
              </w:rPr>
              <w:t>Szubvulkáni</w:t>
            </w:r>
            <w:proofErr w:type="spellEnd"/>
            <w:r>
              <w:rPr>
                <w:sz w:val="16"/>
                <w:szCs w:val="16"/>
              </w:rPr>
              <w:t xml:space="preserve"> kőzetek: A felszín alatt nagyobb mélységben megszilárdult kőzetek. Ezek durvább szemcsések, mint a vulkáni kőzetek, de kőzetnevük ugyanaz, mint a megfelelő vulkáni kőzeté. </w:t>
            </w: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rPr>
                <w:b/>
                <w:bCs/>
                <w:sz w:val="16"/>
                <w:szCs w:val="16"/>
              </w:rPr>
            </w:pPr>
            <w:r>
              <w:rPr>
                <w:b/>
                <w:bCs/>
                <w:sz w:val="16"/>
                <w:szCs w:val="16"/>
              </w:rPr>
              <w:t xml:space="preserve">1. Riolit </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Azon kiömlési (vulkáni) kőzet, amelynek SiO</w:t>
            </w:r>
            <w:r>
              <w:rPr>
                <w:sz w:val="16"/>
                <w:szCs w:val="16"/>
                <w:vertAlign w:val="subscript"/>
              </w:rPr>
              <w:t>2</w:t>
            </w:r>
            <w:r>
              <w:rPr>
                <w:sz w:val="16"/>
                <w:szCs w:val="16"/>
              </w:rPr>
              <w:t xml:space="preserve"> tartalma 70% körüli, (± 10%) kőzetalkotó ásványok csökkenő mennyiségi sorrendben: kvarc, K-földpát, </w:t>
            </w:r>
            <w:proofErr w:type="spellStart"/>
            <w:r>
              <w:rPr>
                <w:sz w:val="16"/>
                <w:szCs w:val="16"/>
              </w:rPr>
              <w:t>Na-Ca-plagioklász</w:t>
            </w:r>
            <w:proofErr w:type="spellEnd"/>
            <w:r>
              <w:rPr>
                <w:sz w:val="16"/>
                <w:szCs w:val="16"/>
              </w:rPr>
              <w:t xml:space="preserve">, biotit, kőzetüveg. Szövete finomszemcsés, porfíros.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1110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720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5700 Riolit</w:t>
            </w:r>
          </w:p>
        </w:tc>
      </w:tr>
      <w:tr w:rsidR="00153F2F">
        <w:trPr>
          <w:cantSplit/>
          <w:trHeight w:val="180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10</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rPr>
                <w:b/>
                <w:bCs/>
                <w:sz w:val="16"/>
                <w:szCs w:val="16"/>
              </w:rPr>
            </w:pPr>
            <w:r>
              <w:rPr>
                <w:b/>
                <w:bCs/>
                <w:sz w:val="16"/>
                <w:szCs w:val="16"/>
              </w:rPr>
              <w:t xml:space="preserve">2. </w:t>
            </w:r>
            <w:proofErr w:type="spellStart"/>
            <w:r>
              <w:rPr>
                <w:b/>
                <w:bCs/>
                <w:sz w:val="16"/>
                <w:szCs w:val="16"/>
              </w:rPr>
              <w:t>Dácit</w:t>
            </w:r>
            <w:proofErr w:type="spellEnd"/>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Azon kiömlési (vulkáni) kőzet, amelynek SiO</w:t>
            </w:r>
            <w:r>
              <w:rPr>
                <w:sz w:val="16"/>
                <w:szCs w:val="16"/>
                <w:vertAlign w:val="subscript"/>
              </w:rPr>
              <w:t>2</w:t>
            </w:r>
            <w:r>
              <w:rPr>
                <w:sz w:val="16"/>
                <w:szCs w:val="16"/>
              </w:rPr>
              <w:t xml:space="preserve"> tartalma 70-60% közötti, kőzetalkotó ásványok csökkenő mennyiségi sorrendben: </w:t>
            </w:r>
            <w:proofErr w:type="spellStart"/>
            <w:r>
              <w:rPr>
                <w:sz w:val="16"/>
                <w:szCs w:val="16"/>
              </w:rPr>
              <w:t>Na-Ca-plagioklász</w:t>
            </w:r>
            <w:proofErr w:type="spellEnd"/>
            <w:r>
              <w:rPr>
                <w:sz w:val="16"/>
                <w:szCs w:val="16"/>
              </w:rPr>
              <w:t xml:space="preserve">, biotit, </w:t>
            </w:r>
            <w:proofErr w:type="spellStart"/>
            <w:r>
              <w:rPr>
                <w:sz w:val="16"/>
                <w:szCs w:val="16"/>
              </w:rPr>
              <w:t>amfiból</w:t>
            </w:r>
            <w:proofErr w:type="spellEnd"/>
            <w:r>
              <w:rPr>
                <w:sz w:val="16"/>
                <w:szCs w:val="16"/>
              </w:rPr>
              <w:t xml:space="preserve">, kvarc, kőzetüveg. Szövete finomszemcsés, porfíros.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1120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3 000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5300 </w:t>
            </w:r>
            <w:proofErr w:type="spellStart"/>
            <w:r>
              <w:rPr>
                <w:sz w:val="16"/>
                <w:szCs w:val="16"/>
              </w:rPr>
              <w:t>Dácit</w:t>
            </w:r>
            <w:proofErr w:type="spellEnd"/>
          </w:p>
        </w:tc>
      </w:tr>
      <w:tr w:rsidR="00153F2F">
        <w:trPr>
          <w:cantSplit/>
          <w:trHeight w:val="226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11</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rPr>
                <w:b/>
                <w:bCs/>
                <w:sz w:val="16"/>
                <w:szCs w:val="16"/>
              </w:rPr>
            </w:pPr>
            <w:r>
              <w:rPr>
                <w:b/>
                <w:bCs/>
                <w:sz w:val="16"/>
                <w:szCs w:val="16"/>
              </w:rPr>
              <w:t xml:space="preserve">3. </w:t>
            </w:r>
            <w:proofErr w:type="spellStart"/>
            <w:r>
              <w:rPr>
                <w:b/>
                <w:bCs/>
                <w:sz w:val="16"/>
                <w:szCs w:val="16"/>
              </w:rPr>
              <w:t>Fonolit</w:t>
            </w:r>
            <w:proofErr w:type="spellEnd"/>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sz w:val="16"/>
                <w:szCs w:val="16"/>
              </w:rPr>
              <w:t>Azon kiömlési (vulkáni) kőzet, amelynek SiO</w:t>
            </w:r>
            <w:r>
              <w:rPr>
                <w:sz w:val="16"/>
                <w:szCs w:val="16"/>
                <w:vertAlign w:val="subscript"/>
              </w:rPr>
              <w:t>2</w:t>
            </w:r>
            <w:r>
              <w:rPr>
                <w:sz w:val="16"/>
                <w:szCs w:val="16"/>
              </w:rPr>
              <w:t xml:space="preserve"> tartalma 60% körüli, (± 10%) kőzetalkotó ásványok csökkenő mennyiségi sorrendben: </w:t>
            </w:r>
            <w:r>
              <w:rPr>
                <w:sz w:val="16"/>
                <w:szCs w:val="16"/>
              </w:rPr>
              <w:br/>
              <w:t xml:space="preserve">K-földpát, </w:t>
            </w:r>
            <w:proofErr w:type="spellStart"/>
            <w:r>
              <w:rPr>
                <w:sz w:val="16"/>
                <w:szCs w:val="16"/>
              </w:rPr>
              <w:t>Na-Ca-plagioklász</w:t>
            </w:r>
            <w:proofErr w:type="spellEnd"/>
            <w:r>
              <w:rPr>
                <w:sz w:val="16"/>
                <w:szCs w:val="16"/>
              </w:rPr>
              <w:t xml:space="preserve">, alkáli </w:t>
            </w:r>
            <w:proofErr w:type="spellStart"/>
            <w:r>
              <w:rPr>
                <w:sz w:val="16"/>
                <w:szCs w:val="16"/>
              </w:rPr>
              <w:t>piroxén</w:t>
            </w:r>
            <w:proofErr w:type="spellEnd"/>
            <w:r>
              <w:rPr>
                <w:sz w:val="16"/>
                <w:szCs w:val="16"/>
              </w:rPr>
              <w:t xml:space="preserve">, biotit, </w:t>
            </w:r>
            <w:proofErr w:type="spellStart"/>
            <w:r>
              <w:rPr>
                <w:sz w:val="16"/>
                <w:szCs w:val="16"/>
              </w:rPr>
              <w:t>nefelin</w:t>
            </w:r>
            <w:proofErr w:type="spellEnd"/>
            <w:r>
              <w:rPr>
                <w:sz w:val="16"/>
                <w:szCs w:val="16"/>
              </w:rPr>
              <w:t xml:space="preserve"> vagy </w:t>
            </w:r>
            <w:proofErr w:type="spellStart"/>
            <w:r>
              <w:rPr>
                <w:sz w:val="16"/>
                <w:szCs w:val="16"/>
              </w:rPr>
              <w:t>leucit</w:t>
            </w:r>
            <w:proofErr w:type="spellEnd"/>
            <w:r>
              <w:rPr>
                <w:sz w:val="16"/>
                <w:szCs w:val="16"/>
              </w:rPr>
              <w:t xml:space="preserve">, </w:t>
            </w:r>
            <w:proofErr w:type="spellStart"/>
            <w:r>
              <w:rPr>
                <w:sz w:val="16"/>
                <w:szCs w:val="16"/>
              </w:rPr>
              <w:t>analcim</w:t>
            </w:r>
            <w:proofErr w:type="spellEnd"/>
            <w:r>
              <w:rPr>
                <w:sz w:val="16"/>
                <w:szCs w:val="16"/>
              </w:rPr>
              <w:t xml:space="preserve">, esetleg alkáli </w:t>
            </w:r>
            <w:proofErr w:type="spellStart"/>
            <w:r>
              <w:rPr>
                <w:sz w:val="16"/>
                <w:szCs w:val="16"/>
              </w:rPr>
              <w:t>amfiból</w:t>
            </w:r>
            <w:proofErr w:type="spellEnd"/>
            <w:r>
              <w:rPr>
                <w:sz w:val="16"/>
                <w:szCs w:val="16"/>
              </w:rPr>
              <w:t xml:space="preserve">, kőzetüveg. Szövete finomszemcsés, porfíros.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1130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6 600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76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12</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rPr>
                <w:b/>
                <w:bCs/>
                <w:sz w:val="16"/>
                <w:szCs w:val="16"/>
              </w:rPr>
            </w:pPr>
            <w:r>
              <w:rPr>
                <w:b/>
                <w:bCs/>
                <w:sz w:val="16"/>
                <w:szCs w:val="16"/>
              </w:rPr>
              <w:t xml:space="preserve">4. Andezit </w:t>
            </w:r>
          </w:p>
        </w:tc>
        <w:tc>
          <w:tcPr>
            <w:tcW w:w="3119"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Azon kiömlési (vulkáni) kőzet, amelynek SiO</w:t>
            </w:r>
            <w:r>
              <w:rPr>
                <w:sz w:val="16"/>
                <w:szCs w:val="16"/>
                <w:vertAlign w:val="subscript"/>
              </w:rPr>
              <w:t>2</w:t>
            </w:r>
            <w:r>
              <w:rPr>
                <w:sz w:val="16"/>
                <w:szCs w:val="16"/>
              </w:rPr>
              <w:t xml:space="preserve"> tartalma 60% körüli, (± 10%) kőzetalkotó ásványok csökkenő mennyiségi sorrendben: </w:t>
            </w:r>
            <w:r>
              <w:rPr>
                <w:sz w:val="16"/>
                <w:szCs w:val="16"/>
              </w:rPr>
              <w:br/>
            </w:r>
            <w:proofErr w:type="spellStart"/>
            <w:r>
              <w:rPr>
                <w:sz w:val="16"/>
                <w:szCs w:val="16"/>
              </w:rPr>
              <w:t>Ca-Na-plagioklász</w:t>
            </w:r>
            <w:proofErr w:type="spellEnd"/>
            <w:r>
              <w:rPr>
                <w:sz w:val="16"/>
                <w:szCs w:val="16"/>
              </w:rPr>
              <w:t xml:space="preserve">, </w:t>
            </w:r>
            <w:proofErr w:type="spellStart"/>
            <w:r>
              <w:rPr>
                <w:sz w:val="16"/>
                <w:szCs w:val="16"/>
              </w:rPr>
              <w:t>piroxén</w:t>
            </w:r>
            <w:proofErr w:type="spellEnd"/>
            <w:r>
              <w:rPr>
                <w:sz w:val="16"/>
                <w:szCs w:val="16"/>
              </w:rPr>
              <w:t xml:space="preserve">, </w:t>
            </w:r>
            <w:proofErr w:type="spellStart"/>
            <w:r>
              <w:rPr>
                <w:sz w:val="16"/>
                <w:szCs w:val="16"/>
              </w:rPr>
              <w:t>amfiból</w:t>
            </w:r>
            <w:proofErr w:type="spellEnd"/>
            <w:r>
              <w:rPr>
                <w:sz w:val="16"/>
                <w:szCs w:val="16"/>
              </w:rPr>
              <w:t xml:space="preserve">, esetleg biotit, kőzetüveg. Szövete finomszemcsés, porfíros. </w:t>
            </w: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rPr>
                <w:b/>
                <w:bCs/>
                <w:sz w:val="16"/>
                <w:szCs w:val="16"/>
              </w:rPr>
            </w:pPr>
            <w:r>
              <w:rPr>
                <w:b/>
                <w:bCs/>
                <w:sz w:val="16"/>
                <w:szCs w:val="16"/>
              </w:rPr>
              <w:t>1. Pados andezit</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Azon andezit nyersanyag, amelynek tömegének legalább 70%-akihűlési felületekkel határolt 10-20 cm nagyságú lemezekből épül fel.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1141</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2 050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5600 Pados andezit</w:t>
            </w:r>
          </w:p>
        </w:tc>
      </w:tr>
      <w:tr w:rsidR="00153F2F">
        <w:trPr>
          <w:cantSplit/>
          <w:trHeight w:val="51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13</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rPr>
                <w:b/>
                <w:bCs/>
                <w:sz w:val="16"/>
                <w:szCs w:val="16"/>
              </w:rPr>
            </w:pPr>
            <w:r>
              <w:rPr>
                <w:b/>
                <w:bCs/>
                <w:sz w:val="16"/>
                <w:szCs w:val="16"/>
              </w:rPr>
              <w:t>2. Andezit</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Az andezit csoport leírásánál szereplő leírással azonos.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1142</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1 800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5600 Andezit</w:t>
            </w:r>
          </w:p>
        </w:tc>
      </w:tr>
      <w:tr w:rsidR="00153F2F">
        <w:trPr>
          <w:cantSplit/>
          <w:trHeight w:val="156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14</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rPr>
                <w:b/>
                <w:bCs/>
                <w:sz w:val="16"/>
                <w:szCs w:val="16"/>
              </w:rPr>
            </w:pPr>
            <w:r>
              <w:rPr>
                <w:b/>
                <w:bCs/>
                <w:sz w:val="16"/>
                <w:szCs w:val="16"/>
              </w:rPr>
              <w:t xml:space="preserve">5. Bazalt </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Azon kiömlési (vulkáni) kőzet, amelynek SiO</w:t>
            </w:r>
            <w:r>
              <w:rPr>
                <w:sz w:val="16"/>
                <w:szCs w:val="16"/>
                <w:vertAlign w:val="subscript"/>
              </w:rPr>
              <w:t>2</w:t>
            </w:r>
            <w:r>
              <w:rPr>
                <w:sz w:val="16"/>
                <w:szCs w:val="16"/>
              </w:rPr>
              <w:t xml:space="preserve"> tartalma 50% körüli, (± 10%) kőzetalkotó ásványok csökkenő mennyiségi sorrendben: </w:t>
            </w:r>
            <w:proofErr w:type="spellStart"/>
            <w:r>
              <w:rPr>
                <w:sz w:val="16"/>
                <w:szCs w:val="16"/>
              </w:rPr>
              <w:t>olivin</w:t>
            </w:r>
            <w:proofErr w:type="spellEnd"/>
            <w:r>
              <w:rPr>
                <w:sz w:val="16"/>
                <w:szCs w:val="16"/>
              </w:rPr>
              <w:t xml:space="preserve">, </w:t>
            </w:r>
            <w:proofErr w:type="spellStart"/>
            <w:r>
              <w:rPr>
                <w:sz w:val="16"/>
                <w:szCs w:val="16"/>
              </w:rPr>
              <w:t>piroxén</w:t>
            </w:r>
            <w:proofErr w:type="spellEnd"/>
            <w:r>
              <w:rPr>
                <w:sz w:val="16"/>
                <w:szCs w:val="16"/>
              </w:rPr>
              <w:t xml:space="preserve">, </w:t>
            </w:r>
            <w:proofErr w:type="spellStart"/>
            <w:r>
              <w:rPr>
                <w:sz w:val="16"/>
                <w:szCs w:val="16"/>
              </w:rPr>
              <w:t>Ca-plagioklász</w:t>
            </w:r>
            <w:proofErr w:type="spellEnd"/>
            <w:r>
              <w:rPr>
                <w:sz w:val="16"/>
                <w:szCs w:val="16"/>
              </w:rPr>
              <w:t xml:space="preserve">, </w:t>
            </w:r>
            <w:proofErr w:type="spellStart"/>
            <w:r>
              <w:rPr>
                <w:sz w:val="16"/>
                <w:szCs w:val="16"/>
              </w:rPr>
              <w:t>amfiból</w:t>
            </w:r>
            <w:proofErr w:type="spellEnd"/>
            <w:r>
              <w:rPr>
                <w:sz w:val="16"/>
                <w:szCs w:val="16"/>
              </w:rPr>
              <w:t xml:space="preserve">, esetleg kőzetüveg. Szövete finomszemcsés, porfíros.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1150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3 000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5500 Bazalt</w:t>
            </w:r>
            <w:r>
              <w:rPr>
                <w:sz w:val="16"/>
                <w:szCs w:val="16"/>
              </w:rPr>
              <w:br/>
              <w:t>5200 Diabáz</w:t>
            </w:r>
          </w:p>
        </w:tc>
      </w:tr>
      <w:tr w:rsidR="00153F2F">
        <w:trPr>
          <w:cantSplit/>
          <w:trHeight w:val="31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15</w:t>
            </w:r>
          </w:p>
        </w:tc>
        <w:tc>
          <w:tcPr>
            <w:tcW w:w="1701"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3. </w:t>
            </w:r>
            <w:proofErr w:type="spellStart"/>
            <w:r>
              <w:rPr>
                <w:b/>
                <w:bCs/>
                <w:sz w:val="16"/>
                <w:szCs w:val="16"/>
              </w:rPr>
              <w:t>Piroklasztikumok</w:t>
            </w:r>
            <w:proofErr w:type="spellEnd"/>
            <w:r>
              <w:rPr>
                <w:b/>
                <w:bCs/>
                <w:sz w:val="16"/>
                <w:szCs w:val="16"/>
              </w:rPr>
              <w:t xml:space="preserve"> (tufa és </w:t>
            </w:r>
            <w:proofErr w:type="spellStart"/>
            <w:r>
              <w:rPr>
                <w:b/>
                <w:bCs/>
                <w:sz w:val="16"/>
                <w:szCs w:val="16"/>
              </w:rPr>
              <w:t>tufit</w:t>
            </w:r>
            <w:proofErr w:type="spellEnd"/>
            <w:r>
              <w:rPr>
                <w:b/>
                <w:bCs/>
                <w:sz w:val="16"/>
                <w:szCs w:val="16"/>
              </w:rPr>
              <w:t xml:space="preserve">). </w:t>
            </w:r>
            <w:r>
              <w:rPr>
                <w:sz w:val="16"/>
                <w:szCs w:val="16"/>
              </w:rPr>
              <w:t xml:space="preserve">A vulkanizmus során keletkezett kőzet, amelyben a vulkáni törmelékszemcsék (éles ásvány-, </w:t>
            </w:r>
            <w:proofErr w:type="gramStart"/>
            <w:r>
              <w:rPr>
                <w:sz w:val="16"/>
                <w:szCs w:val="16"/>
              </w:rPr>
              <w:t>kőzetüveg  vagy</w:t>
            </w:r>
            <w:proofErr w:type="gramEnd"/>
            <w:r>
              <w:rPr>
                <w:sz w:val="16"/>
                <w:szCs w:val="16"/>
              </w:rPr>
              <w:t xml:space="preserve"> kőzettörmelékek), horzsakövek, üveges, gyakran agyagásványosodott. Alapanyaga porózus szerkezetű. A poranyag szárazföldi lerakódásával keletkezik. </w:t>
            </w:r>
            <w:r>
              <w:rPr>
                <w:sz w:val="16"/>
                <w:szCs w:val="16"/>
              </w:rPr>
              <w:br/>
              <w:t xml:space="preserve">Ha a lerakódás vízben történik, a kőzetet </w:t>
            </w:r>
            <w:proofErr w:type="spellStart"/>
            <w:r>
              <w:rPr>
                <w:sz w:val="16"/>
                <w:szCs w:val="16"/>
              </w:rPr>
              <w:t>tufitnak</w:t>
            </w:r>
            <w:proofErr w:type="spellEnd"/>
            <w:r>
              <w:rPr>
                <w:sz w:val="16"/>
                <w:szCs w:val="16"/>
              </w:rPr>
              <w:t xml:space="preserve"> nevezzük. </w:t>
            </w:r>
          </w:p>
        </w:tc>
        <w:tc>
          <w:tcPr>
            <w:tcW w:w="1276"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1. Riolittufa</w:t>
            </w:r>
            <w:r>
              <w:rPr>
                <w:b/>
                <w:bCs/>
                <w:sz w:val="16"/>
                <w:szCs w:val="16"/>
              </w:rPr>
              <w:br/>
              <w:t>(</w:t>
            </w:r>
            <w:proofErr w:type="spellStart"/>
            <w:r>
              <w:rPr>
                <w:b/>
                <w:bCs/>
                <w:sz w:val="16"/>
                <w:szCs w:val="16"/>
              </w:rPr>
              <w:t>-tufit</w:t>
            </w:r>
            <w:proofErr w:type="spellEnd"/>
            <w:r>
              <w:rPr>
                <w:b/>
                <w:bCs/>
                <w:sz w:val="16"/>
                <w:szCs w:val="16"/>
              </w:rPr>
              <w:t>)</w:t>
            </w:r>
          </w:p>
        </w:tc>
        <w:tc>
          <w:tcPr>
            <w:tcW w:w="3119"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Riolit vulkanizmus során keletkezett tufa illetve </w:t>
            </w:r>
            <w:proofErr w:type="spellStart"/>
            <w:r>
              <w:rPr>
                <w:sz w:val="16"/>
                <w:szCs w:val="16"/>
              </w:rPr>
              <w:t>tufit</w:t>
            </w:r>
            <w:proofErr w:type="spellEnd"/>
            <w:r>
              <w:rPr>
                <w:sz w:val="16"/>
                <w:szCs w:val="16"/>
              </w:rPr>
              <w:t xml:space="preserve"> kőzet. </w:t>
            </w:r>
            <w:proofErr w:type="spellStart"/>
            <w:r>
              <w:rPr>
                <w:sz w:val="16"/>
                <w:szCs w:val="16"/>
              </w:rPr>
              <w:t>Kemizmusa</w:t>
            </w:r>
            <w:proofErr w:type="spellEnd"/>
            <w:r>
              <w:rPr>
                <w:sz w:val="16"/>
                <w:szCs w:val="16"/>
              </w:rPr>
              <w:t xml:space="preserve"> a riolitéval azonos. </w:t>
            </w: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1. Riolittufa (</w:t>
            </w:r>
            <w:proofErr w:type="spellStart"/>
            <w:r>
              <w:rPr>
                <w:b/>
                <w:bCs/>
                <w:sz w:val="16"/>
                <w:szCs w:val="16"/>
              </w:rPr>
              <w:t>tufit</w:t>
            </w:r>
            <w:proofErr w:type="spellEnd"/>
            <w:r>
              <w:rPr>
                <w:b/>
                <w:bCs/>
                <w:sz w:val="16"/>
                <w:szCs w:val="16"/>
              </w:rPr>
              <w:t>)</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 riolittufa csoport leírásával megegyezik.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1211</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920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5900 Riolittufa</w:t>
            </w:r>
          </w:p>
        </w:tc>
      </w:tr>
      <w:tr w:rsidR="00153F2F">
        <w:trPr>
          <w:cantSplit/>
          <w:trHeight w:val="54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16</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2. </w:t>
            </w:r>
            <w:proofErr w:type="spellStart"/>
            <w:r>
              <w:rPr>
                <w:b/>
                <w:bCs/>
                <w:sz w:val="16"/>
                <w:szCs w:val="16"/>
              </w:rPr>
              <w:t>Kálitufa</w:t>
            </w:r>
            <w:proofErr w:type="spellEnd"/>
          </w:p>
        </w:tc>
        <w:tc>
          <w:tcPr>
            <w:tcW w:w="2268" w:type="dxa"/>
            <w:tcBorders>
              <w:top w:val="nil"/>
              <w:left w:val="nil"/>
              <w:bottom w:val="single" w:sz="4" w:space="0" w:color="auto"/>
              <w:right w:val="single" w:sz="4" w:space="0" w:color="auto"/>
            </w:tcBorders>
            <w:shd w:val="clear" w:color="auto" w:fill="FFFFFF"/>
            <w:vAlign w:val="center"/>
          </w:tcPr>
          <w:p w:rsidR="00153F2F" w:rsidRDefault="00604D51">
            <w:pPr>
              <w:widowControl w:val="0"/>
              <w:spacing w:after="0"/>
              <w:ind w:firstLine="0"/>
              <w:jc w:val="left"/>
              <w:rPr>
                <w:b/>
                <w:bCs/>
                <w:sz w:val="16"/>
                <w:szCs w:val="16"/>
              </w:rPr>
            </w:pPr>
            <w:r>
              <w:rPr>
                <w:sz w:val="16"/>
                <w:szCs w:val="16"/>
              </w:rPr>
              <w:t>Káliumtartalmú riolittufa. K</w:t>
            </w:r>
            <w:r>
              <w:rPr>
                <w:sz w:val="16"/>
                <w:szCs w:val="16"/>
                <w:vertAlign w:val="subscript"/>
              </w:rPr>
              <w:t>2</w:t>
            </w:r>
            <w:r>
              <w:rPr>
                <w:sz w:val="16"/>
                <w:szCs w:val="16"/>
              </w:rPr>
              <w:t xml:space="preserve">O tartalom minimum 5%.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1212</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4 000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7000 </w:t>
            </w:r>
            <w:proofErr w:type="spellStart"/>
            <w:r>
              <w:rPr>
                <w:sz w:val="16"/>
                <w:szCs w:val="16"/>
              </w:rPr>
              <w:t>Kálitufa</w:t>
            </w:r>
            <w:proofErr w:type="spellEnd"/>
          </w:p>
        </w:tc>
      </w:tr>
      <w:tr w:rsidR="00153F2F">
        <w:trPr>
          <w:cantSplit/>
          <w:trHeight w:val="76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17</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3. Horzsakőtufa, (</w:t>
            </w:r>
            <w:proofErr w:type="spellStart"/>
            <w:r>
              <w:rPr>
                <w:b/>
                <w:bCs/>
                <w:sz w:val="16"/>
                <w:szCs w:val="16"/>
              </w:rPr>
              <w:t>pumicit</w:t>
            </w:r>
            <w:proofErr w:type="spellEnd"/>
            <w:r>
              <w:rPr>
                <w:b/>
                <w:bCs/>
                <w:sz w:val="16"/>
                <w:szCs w:val="16"/>
              </w:rPr>
              <w:t>)</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sz w:val="16"/>
                <w:szCs w:val="16"/>
              </w:rPr>
              <w:t xml:space="preserve">Vulkáni gőzök és gázok expanziója által keletkezett magas horzsakő törmelék tartalmú riolittufa.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1213</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3 700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5900 Horzsakőtufa (</w:t>
            </w:r>
            <w:proofErr w:type="spellStart"/>
            <w:r>
              <w:rPr>
                <w:sz w:val="16"/>
                <w:szCs w:val="16"/>
              </w:rPr>
              <w:t>pumicit</w:t>
            </w:r>
            <w:proofErr w:type="spellEnd"/>
            <w:r>
              <w:rPr>
                <w:sz w:val="16"/>
                <w:szCs w:val="16"/>
              </w:rPr>
              <w:t>)</w:t>
            </w:r>
          </w:p>
        </w:tc>
      </w:tr>
      <w:tr w:rsidR="00153F2F">
        <w:trPr>
          <w:cantSplit/>
          <w:trHeight w:val="102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18</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4. </w:t>
            </w:r>
            <w:proofErr w:type="spellStart"/>
            <w:r>
              <w:rPr>
                <w:b/>
                <w:bCs/>
                <w:sz w:val="16"/>
                <w:szCs w:val="16"/>
              </w:rPr>
              <w:t>Zeolitos</w:t>
            </w:r>
            <w:proofErr w:type="spellEnd"/>
            <w:r>
              <w:rPr>
                <w:b/>
                <w:bCs/>
                <w:sz w:val="16"/>
                <w:szCs w:val="16"/>
              </w:rPr>
              <w:t xml:space="preserve"> riolittufa I.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sz w:val="16"/>
                <w:szCs w:val="16"/>
              </w:rPr>
              <w:t xml:space="preserve">Savanyú vulkánitokból </w:t>
            </w:r>
            <w:proofErr w:type="spellStart"/>
            <w:r>
              <w:rPr>
                <w:sz w:val="16"/>
                <w:szCs w:val="16"/>
              </w:rPr>
              <w:t>hidrolites</w:t>
            </w:r>
            <w:proofErr w:type="spellEnd"/>
            <w:r>
              <w:rPr>
                <w:sz w:val="16"/>
                <w:szCs w:val="16"/>
              </w:rPr>
              <w:t xml:space="preserve"> bomlás révén keletkezett </w:t>
            </w:r>
            <w:proofErr w:type="spellStart"/>
            <w:r>
              <w:rPr>
                <w:sz w:val="16"/>
                <w:szCs w:val="16"/>
              </w:rPr>
              <w:t>zeolit</w:t>
            </w:r>
            <w:proofErr w:type="spellEnd"/>
            <w:r>
              <w:rPr>
                <w:sz w:val="16"/>
                <w:szCs w:val="16"/>
              </w:rPr>
              <w:t xml:space="preserve"> ásványokat tartalmazó kőzet, amelynek </w:t>
            </w:r>
            <w:proofErr w:type="spellStart"/>
            <w:r>
              <w:rPr>
                <w:sz w:val="16"/>
                <w:szCs w:val="16"/>
              </w:rPr>
              <w:t>zeolit</w:t>
            </w:r>
            <w:proofErr w:type="spellEnd"/>
            <w:r>
              <w:rPr>
                <w:sz w:val="16"/>
                <w:szCs w:val="16"/>
              </w:rPr>
              <w:t xml:space="preserve"> tartalma eléri vagy meghaladja a 60%-ot.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1214</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4 800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102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19</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5. </w:t>
            </w:r>
            <w:proofErr w:type="spellStart"/>
            <w:r>
              <w:rPr>
                <w:b/>
                <w:bCs/>
                <w:sz w:val="16"/>
                <w:szCs w:val="16"/>
              </w:rPr>
              <w:t>Zeolitos</w:t>
            </w:r>
            <w:proofErr w:type="spellEnd"/>
            <w:r>
              <w:rPr>
                <w:b/>
                <w:bCs/>
                <w:sz w:val="16"/>
                <w:szCs w:val="16"/>
              </w:rPr>
              <w:t xml:space="preserve"> riolittufa II.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sz w:val="16"/>
                <w:szCs w:val="16"/>
              </w:rPr>
              <w:t xml:space="preserve">Savanyú vulkánitokból </w:t>
            </w:r>
            <w:proofErr w:type="spellStart"/>
            <w:r>
              <w:rPr>
                <w:sz w:val="16"/>
                <w:szCs w:val="16"/>
              </w:rPr>
              <w:t>hidrolites</w:t>
            </w:r>
            <w:proofErr w:type="spellEnd"/>
            <w:r>
              <w:rPr>
                <w:sz w:val="16"/>
                <w:szCs w:val="16"/>
              </w:rPr>
              <w:t xml:space="preserve"> bomlás révén keletkezett </w:t>
            </w:r>
            <w:proofErr w:type="spellStart"/>
            <w:r>
              <w:rPr>
                <w:sz w:val="16"/>
                <w:szCs w:val="16"/>
              </w:rPr>
              <w:t>zeolit</w:t>
            </w:r>
            <w:proofErr w:type="spellEnd"/>
            <w:r>
              <w:rPr>
                <w:sz w:val="16"/>
                <w:szCs w:val="16"/>
              </w:rPr>
              <w:t xml:space="preserve"> ásványokat tartalmazó kőzet, amelynek </w:t>
            </w:r>
            <w:proofErr w:type="spellStart"/>
            <w:r>
              <w:rPr>
                <w:sz w:val="16"/>
                <w:szCs w:val="16"/>
              </w:rPr>
              <w:t>zeolit</w:t>
            </w:r>
            <w:proofErr w:type="spellEnd"/>
            <w:r>
              <w:rPr>
                <w:sz w:val="16"/>
                <w:szCs w:val="16"/>
              </w:rPr>
              <w:t xml:space="preserve"> tartalma 40-60% között van.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1215</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3 700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5900 </w:t>
            </w:r>
            <w:proofErr w:type="spellStart"/>
            <w:r>
              <w:rPr>
                <w:sz w:val="16"/>
                <w:szCs w:val="16"/>
              </w:rPr>
              <w:t>Zeolitos</w:t>
            </w:r>
            <w:proofErr w:type="spellEnd"/>
            <w:r>
              <w:rPr>
                <w:sz w:val="16"/>
                <w:szCs w:val="16"/>
              </w:rPr>
              <w:t xml:space="preserve"> riolittufa</w:t>
            </w:r>
          </w:p>
        </w:tc>
      </w:tr>
      <w:tr w:rsidR="00153F2F">
        <w:trPr>
          <w:cantSplit/>
          <w:trHeight w:val="132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20</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6. </w:t>
            </w:r>
            <w:proofErr w:type="spellStart"/>
            <w:r>
              <w:rPr>
                <w:b/>
                <w:bCs/>
                <w:sz w:val="16"/>
                <w:szCs w:val="16"/>
              </w:rPr>
              <w:t>Zeolitos</w:t>
            </w:r>
            <w:proofErr w:type="spellEnd"/>
            <w:r>
              <w:rPr>
                <w:b/>
                <w:bCs/>
                <w:sz w:val="16"/>
                <w:szCs w:val="16"/>
              </w:rPr>
              <w:t xml:space="preserve"> riolittufa III.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Savanyú vulkánitokból </w:t>
            </w:r>
            <w:proofErr w:type="spellStart"/>
            <w:r>
              <w:rPr>
                <w:sz w:val="16"/>
                <w:szCs w:val="16"/>
              </w:rPr>
              <w:t>hidrolites</w:t>
            </w:r>
            <w:proofErr w:type="spellEnd"/>
            <w:r>
              <w:rPr>
                <w:sz w:val="16"/>
                <w:szCs w:val="16"/>
              </w:rPr>
              <w:t xml:space="preserve"> bomlás révén keletkezett </w:t>
            </w:r>
            <w:proofErr w:type="spellStart"/>
            <w:r>
              <w:rPr>
                <w:sz w:val="16"/>
                <w:szCs w:val="16"/>
              </w:rPr>
              <w:t>zeolit</w:t>
            </w:r>
            <w:proofErr w:type="spellEnd"/>
            <w:r>
              <w:rPr>
                <w:sz w:val="16"/>
                <w:szCs w:val="16"/>
              </w:rPr>
              <w:t xml:space="preserve"> ásványokat tartalmazó kőzet, amelynek </w:t>
            </w:r>
            <w:proofErr w:type="spellStart"/>
            <w:r>
              <w:rPr>
                <w:sz w:val="16"/>
                <w:szCs w:val="16"/>
              </w:rPr>
              <w:t>zeolit</w:t>
            </w:r>
            <w:proofErr w:type="spellEnd"/>
            <w:r>
              <w:rPr>
                <w:sz w:val="16"/>
                <w:szCs w:val="16"/>
              </w:rPr>
              <w:t xml:space="preserve"> tartalma 20-40% között van.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1216</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2500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99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21</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2. </w:t>
            </w:r>
            <w:proofErr w:type="spellStart"/>
            <w:r>
              <w:rPr>
                <w:b/>
                <w:bCs/>
                <w:sz w:val="16"/>
                <w:szCs w:val="16"/>
              </w:rPr>
              <w:t>Dácittufa</w:t>
            </w:r>
            <w:proofErr w:type="spellEnd"/>
            <w:r>
              <w:rPr>
                <w:b/>
                <w:bCs/>
                <w:sz w:val="16"/>
                <w:szCs w:val="16"/>
              </w:rPr>
              <w:br/>
              <w:t>(</w:t>
            </w:r>
            <w:proofErr w:type="spellStart"/>
            <w:r>
              <w:rPr>
                <w:b/>
                <w:bCs/>
                <w:sz w:val="16"/>
                <w:szCs w:val="16"/>
              </w:rPr>
              <w:t>-tufit</w:t>
            </w:r>
            <w:proofErr w:type="spellEnd"/>
            <w:r>
              <w:rPr>
                <w:b/>
                <w:bCs/>
                <w:sz w:val="16"/>
                <w:szCs w:val="16"/>
              </w:rPr>
              <w:t>)</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proofErr w:type="spellStart"/>
            <w:r>
              <w:rPr>
                <w:sz w:val="16"/>
                <w:szCs w:val="16"/>
              </w:rPr>
              <w:t>Dácit</w:t>
            </w:r>
            <w:proofErr w:type="spellEnd"/>
            <w:r>
              <w:rPr>
                <w:sz w:val="16"/>
                <w:szCs w:val="16"/>
              </w:rPr>
              <w:t xml:space="preserve"> vulkanizmus során keletkezett tufa, illetve </w:t>
            </w:r>
            <w:proofErr w:type="spellStart"/>
            <w:r>
              <w:rPr>
                <w:sz w:val="16"/>
                <w:szCs w:val="16"/>
              </w:rPr>
              <w:t>tufit</w:t>
            </w:r>
            <w:proofErr w:type="spellEnd"/>
            <w:r>
              <w:rPr>
                <w:sz w:val="16"/>
                <w:szCs w:val="16"/>
              </w:rPr>
              <w:t xml:space="preserve"> kőzet. </w:t>
            </w:r>
            <w:proofErr w:type="spellStart"/>
            <w:r>
              <w:rPr>
                <w:sz w:val="16"/>
                <w:szCs w:val="16"/>
              </w:rPr>
              <w:t>Kemizmusa</w:t>
            </w:r>
            <w:proofErr w:type="spellEnd"/>
            <w:r>
              <w:rPr>
                <w:sz w:val="16"/>
                <w:szCs w:val="16"/>
              </w:rPr>
              <w:t xml:space="preserve"> a </w:t>
            </w:r>
            <w:proofErr w:type="spellStart"/>
            <w:r>
              <w:rPr>
                <w:sz w:val="16"/>
                <w:szCs w:val="16"/>
              </w:rPr>
              <w:t>dácitéval</w:t>
            </w:r>
            <w:proofErr w:type="spellEnd"/>
            <w:r>
              <w:rPr>
                <w:sz w:val="16"/>
                <w:szCs w:val="16"/>
              </w:rPr>
              <w:t xml:space="preserve"> azonos.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1220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7 500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4900 </w:t>
            </w:r>
            <w:proofErr w:type="spellStart"/>
            <w:r>
              <w:rPr>
                <w:sz w:val="16"/>
                <w:szCs w:val="16"/>
              </w:rPr>
              <w:t>Dácittufa</w:t>
            </w:r>
            <w:proofErr w:type="spellEnd"/>
          </w:p>
        </w:tc>
      </w:tr>
      <w:tr w:rsidR="00153F2F">
        <w:trPr>
          <w:cantSplit/>
          <w:trHeight w:val="88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22</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3. </w:t>
            </w:r>
            <w:proofErr w:type="spellStart"/>
            <w:r>
              <w:rPr>
                <w:b/>
                <w:bCs/>
                <w:sz w:val="16"/>
                <w:szCs w:val="16"/>
              </w:rPr>
              <w:t>Andezittufa</w:t>
            </w:r>
            <w:proofErr w:type="spellEnd"/>
            <w:r>
              <w:rPr>
                <w:b/>
                <w:bCs/>
                <w:sz w:val="16"/>
                <w:szCs w:val="16"/>
              </w:rPr>
              <w:br/>
              <w:t>(</w:t>
            </w:r>
            <w:proofErr w:type="spellStart"/>
            <w:r>
              <w:rPr>
                <w:b/>
                <w:bCs/>
                <w:sz w:val="16"/>
                <w:szCs w:val="16"/>
              </w:rPr>
              <w:t>-tufit</w:t>
            </w:r>
            <w:proofErr w:type="spellEnd"/>
            <w:r>
              <w:rPr>
                <w:b/>
                <w:bCs/>
                <w:sz w:val="16"/>
                <w:szCs w:val="16"/>
              </w:rPr>
              <w:t xml:space="preserve">) </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Andezit vulkanizmus során keletkezett tufa illetve </w:t>
            </w:r>
            <w:proofErr w:type="spellStart"/>
            <w:r>
              <w:rPr>
                <w:sz w:val="16"/>
                <w:szCs w:val="16"/>
              </w:rPr>
              <w:t>tufit</w:t>
            </w:r>
            <w:proofErr w:type="spellEnd"/>
            <w:r>
              <w:rPr>
                <w:sz w:val="16"/>
                <w:szCs w:val="16"/>
              </w:rPr>
              <w:t xml:space="preserve"> kőzet.  </w:t>
            </w:r>
            <w:proofErr w:type="spellStart"/>
            <w:r>
              <w:rPr>
                <w:sz w:val="16"/>
                <w:szCs w:val="16"/>
              </w:rPr>
              <w:t>Kemizmusa</w:t>
            </w:r>
            <w:proofErr w:type="spellEnd"/>
            <w:r>
              <w:rPr>
                <w:sz w:val="16"/>
                <w:szCs w:val="16"/>
              </w:rPr>
              <w:t xml:space="preserve"> az </w:t>
            </w:r>
            <w:proofErr w:type="spellStart"/>
            <w:r>
              <w:rPr>
                <w:sz w:val="16"/>
                <w:szCs w:val="16"/>
              </w:rPr>
              <w:t>andezitéval</w:t>
            </w:r>
            <w:proofErr w:type="spellEnd"/>
            <w:r>
              <w:rPr>
                <w:sz w:val="16"/>
                <w:szCs w:val="16"/>
              </w:rPr>
              <w:t xml:space="preserve"> azonos.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1230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7 500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97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23</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4. Bazalttufa </w:t>
            </w:r>
            <w:r>
              <w:rPr>
                <w:b/>
                <w:bCs/>
                <w:sz w:val="16"/>
                <w:szCs w:val="16"/>
              </w:rPr>
              <w:br/>
              <w:t>(</w:t>
            </w:r>
            <w:proofErr w:type="spellStart"/>
            <w:r>
              <w:rPr>
                <w:b/>
                <w:bCs/>
                <w:sz w:val="16"/>
                <w:szCs w:val="16"/>
              </w:rPr>
              <w:t>-tufit</w:t>
            </w:r>
            <w:proofErr w:type="spellEnd"/>
            <w:r>
              <w:rPr>
                <w:b/>
                <w:bCs/>
                <w:sz w:val="16"/>
                <w:szCs w:val="16"/>
              </w:rPr>
              <w:t>)</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Bazalt vulkanizmus során keletkezett tufa illetve </w:t>
            </w:r>
            <w:proofErr w:type="spellStart"/>
            <w:r>
              <w:rPr>
                <w:sz w:val="16"/>
                <w:szCs w:val="16"/>
              </w:rPr>
              <w:t>tufit</w:t>
            </w:r>
            <w:proofErr w:type="spellEnd"/>
            <w:r>
              <w:rPr>
                <w:sz w:val="16"/>
                <w:szCs w:val="16"/>
              </w:rPr>
              <w:t xml:space="preserve"> kőzet. </w:t>
            </w:r>
            <w:proofErr w:type="spellStart"/>
            <w:r>
              <w:rPr>
                <w:sz w:val="16"/>
                <w:szCs w:val="16"/>
              </w:rPr>
              <w:t>Kemizmusa</w:t>
            </w:r>
            <w:proofErr w:type="spellEnd"/>
            <w:r>
              <w:rPr>
                <w:sz w:val="16"/>
                <w:szCs w:val="16"/>
              </w:rPr>
              <w:t xml:space="preserve"> a </w:t>
            </w:r>
            <w:proofErr w:type="spellStart"/>
            <w:r>
              <w:rPr>
                <w:sz w:val="16"/>
                <w:szCs w:val="16"/>
              </w:rPr>
              <w:t>bazalttéval</w:t>
            </w:r>
            <w:proofErr w:type="spellEnd"/>
            <w:r>
              <w:rPr>
                <w:sz w:val="16"/>
                <w:szCs w:val="16"/>
              </w:rPr>
              <w:t xml:space="preserve"> azonos.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1240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1 800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5400 Bazalttufa</w:t>
            </w:r>
          </w:p>
        </w:tc>
      </w:tr>
      <w:tr w:rsidR="00153F2F">
        <w:trPr>
          <w:cantSplit/>
          <w:trHeight w:val="153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24</w:t>
            </w:r>
          </w:p>
        </w:tc>
        <w:tc>
          <w:tcPr>
            <w:tcW w:w="1701"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4. Egyéb magmás- </w:t>
            </w:r>
            <w:r>
              <w:rPr>
                <w:b/>
                <w:bCs/>
                <w:sz w:val="16"/>
                <w:szCs w:val="16"/>
              </w:rPr>
              <w:br/>
              <w:t>és utómagmás folyamatokkal létrejött kőzetek</w:t>
            </w:r>
          </w:p>
        </w:tc>
        <w:tc>
          <w:tcPr>
            <w:tcW w:w="1276"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1. Perlit </w:t>
            </w:r>
          </w:p>
        </w:tc>
        <w:tc>
          <w:tcPr>
            <w:tcW w:w="3119"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Azon nyersanyag, amelynek SiO</w:t>
            </w:r>
            <w:r>
              <w:rPr>
                <w:sz w:val="16"/>
                <w:szCs w:val="16"/>
                <w:vertAlign w:val="subscript"/>
              </w:rPr>
              <w:t>2</w:t>
            </w:r>
            <w:r>
              <w:rPr>
                <w:sz w:val="16"/>
                <w:szCs w:val="16"/>
              </w:rPr>
              <w:t xml:space="preserve"> tartalma </w:t>
            </w:r>
            <w:r>
              <w:rPr>
                <w:sz w:val="16"/>
                <w:szCs w:val="16"/>
              </w:rPr>
              <w:br/>
              <w:t xml:space="preserve">60-80% közötti, </w:t>
            </w:r>
            <w:proofErr w:type="spellStart"/>
            <w:r>
              <w:rPr>
                <w:sz w:val="16"/>
                <w:szCs w:val="16"/>
              </w:rPr>
              <w:t>kötöttvíz</w:t>
            </w:r>
            <w:proofErr w:type="spellEnd"/>
            <w:r>
              <w:rPr>
                <w:sz w:val="16"/>
                <w:szCs w:val="16"/>
              </w:rPr>
              <w:t xml:space="preserve"> tartalma 2%-nál nagyobb. Kőzetalkotó ásványok csökkenő mennyiségi sorrendben: kőzetüveg (obszidián, horzsakő, szurokkő), kvarc, K-földpát, </w:t>
            </w:r>
            <w:proofErr w:type="spellStart"/>
            <w:r>
              <w:rPr>
                <w:sz w:val="16"/>
                <w:szCs w:val="16"/>
              </w:rPr>
              <w:t>Na-Ca-plagioklász</w:t>
            </w:r>
            <w:proofErr w:type="spellEnd"/>
            <w:r>
              <w:rPr>
                <w:sz w:val="16"/>
                <w:szCs w:val="16"/>
              </w:rPr>
              <w:t xml:space="preserve">, biotit. Szövete üveges. A perlit egy sajátos környezetben – felszín közeli- </w:t>
            </w:r>
            <w:proofErr w:type="spellStart"/>
            <w:r>
              <w:rPr>
                <w:sz w:val="16"/>
                <w:szCs w:val="16"/>
              </w:rPr>
              <w:t>szubvulkáni</w:t>
            </w:r>
            <w:proofErr w:type="spellEnd"/>
            <w:r>
              <w:rPr>
                <w:sz w:val="16"/>
                <w:szCs w:val="16"/>
              </w:rPr>
              <w:t xml:space="preserve">, képződő riolitos kémizmusú kőzet, melyet a magas kötött víztartalma, és az abból adódó jellegzetes szövete különíti el a riolittól. </w:t>
            </w: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1. Duzzasztható perlit</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Azon perlit tartalmú nyersanyag, amely legalább 50%-ban tartalmaz duzzasztható </w:t>
            </w:r>
            <w:r>
              <w:rPr>
                <w:sz w:val="16"/>
                <w:szCs w:val="16"/>
              </w:rPr>
              <w:br/>
              <w:t xml:space="preserve">(hő hatására, kristályvizének elvesztésével térfogatának többszörösére duzzad) perlit nyersanyagot. Duzzasztás hatására a halmazsűrűség 40-120 g/l.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1311</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3 000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7200 Perlit</w:t>
            </w:r>
          </w:p>
        </w:tc>
      </w:tr>
      <w:tr w:rsidR="00153F2F">
        <w:trPr>
          <w:cantSplit/>
          <w:trHeight w:val="127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25</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2. Perlit tartalmú vulkáni anyag</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Azon perlit tartalmú nyersanyag, amely csekély mennyiségű duzzasztható perlitet tartalmaz, az anyag zöme riolit és riolit tufából áll. Duzzasztás hatására a halmazsűrűség 120-400 g/l.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1312</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1 800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76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26</w:t>
            </w:r>
          </w:p>
        </w:tc>
        <w:tc>
          <w:tcPr>
            <w:tcW w:w="1701"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b/>
                <w:bCs/>
                <w:sz w:val="16"/>
                <w:szCs w:val="16"/>
              </w:rPr>
              <w:t xml:space="preserve">5. Törmelékes üledékes kőzetek </w:t>
            </w:r>
            <w:r>
              <w:rPr>
                <w:sz w:val="16"/>
                <w:szCs w:val="16"/>
              </w:rPr>
              <w:t xml:space="preserve">Kiindulási anyaguk fizikai mállással keletkezett kőzettörmelék. </w:t>
            </w:r>
          </w:p>
        </w:tc>
        <w:tc>
          <w:tcPr>
            <w:tcW w:w="1276"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1. Agyag </w:t>
            </w:r>
          </w:p>
        </w:tc>
        <w:tc>
          <w:tcPr>
            <w:tcW w:w="3119"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Zömében - legalább 50%-ban 20 mikronnál kisebb szemcseméretű üledék, amely uralkodóan – legalább 60%-ban – agyagásványok (</w:t>
            </w:r>
            <w:proofErr w:type="spellStart"/>
            <w:r>
              <w:rPr>
                <w:sz w:val="16"/>
                <w:szCs w:val="16"/>
              </w:rPr>
              <w:t>illit</w:t>
            </w:r>
            <w:proofErr w:type="spellEnd"/>
            <w:r>
              <w:rPr>
                <w:sz w:val="16"/>
                <w:szCs w:val="16"/>
              </w:rPr>
              <w:t xml:space="preserve">, </w:t>
            </w:r>
            <w:proofErr w:type="spellStart"/>
            <w:r>
              <w:rPr>
                <w:sz w:val="16"/>
                <w:szCs w:val="16"/>
              </w:rPr>
              <w:t>montmorillonit</w:t>
            </w:r>
            <w:proofErr w:type="spellEnd"/>
            <w:r>
              <w:rPr>
                <w:sz w:val="16"/>
                <w:szCs w:val="16"/>
              </w:rPr>
              <w:t xml:space="preserve">, kaolinit </w:t>
            </w:r>
            <w:proofErr w:type="gramStart"/>
            <w:r>
              <w:rPr>
                <w:sz w:val="16"/>
                <w:szCs w:val="16"/>
              </w:rPr>
              <w:t>stb. )</w:t>
            </w:r>
            <w:proofErr w:type="gramEnd"/>
            <w:r>
              <w:rPr>
                <w:sz w:val="16"/>
                <w:szCs w:val="16"/>
              </w:rPr>
              <w:t xml:space="preserve"> alkotják. Az agyagásvány jellege meghatározza a nyersanyag tulajdonságait. Képződése lehet üledékes (amikor a mállással képződött agyagásványok lepusztulásával, szállításával, leülepedésével keletkezik) és lehet hidrotermális vagy egyéb folyamatokhoz kötötten (amikor kőzetlebontással, többnyire tufákból képződik, </w:t>
            </w:r>
            <w:r>
              <w:rPr>
                <w:sz w:val="16"/>
                <w:szCs w:val="16"/>
              </w:rPr>
              <w:br/>
              <w:t xml:space="preserve">a kőzetalkotó ásványok és a kőzetüveg agyagásványosodásával). </w:t>
            </w: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1. Bentonit</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Azon agyag nyersanyag, mely összetételében az agyagásvány </w:t>
            </w:r>
            <w:proofErr w:type="gramStart"/>
            <w:r>
              <w:rPr>
                <w:sz w:val="16"/>
                <w:szCs w:val="16"/>
              </w:rPr>
              <w:t>tartalom &gt;50</w:t>
            </w:r>
            <w:proofErr w:type="gramEnd"/>
            <w:r>
              <w:rPr>
                <w:sz w:val="16"/>
                <w:szCs w:val="16"/>
              </w:rPr>
              <w:t xml:space="preserve">% </w:t>
            </w:r>
            <w:proofErr w:type="spellStart"/>
            <w:r>
              <w:rPr>
                <w:sz w:val="16"/>
                <w:szCs w:val="16"/>
              </w:rPr>
              <w:t>montmorillonit</w:t>
            </w:r>
            <w:proofErr w:type="spellEnd"/>
            <w:r>
              <w:rPr>
                <w:sz w:val="16"/>
                <w:szCs w:val="16"/>
              </w:rPr>
              <w:t xml:space="preserve">.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1411</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7 700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4100 Bentonitos agyag</w:t>
            </w:r>
          </w:p>
        </w:tc>
      </w:tr>
      <w:tr w:rsidR="00153F2F">
        <w:trPr>
          <w:cantSplit/>
          <w:trHeight w:val="76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27</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2. Bentonitos agyag</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Azon agyag nyersanyag, mely összetételében az agyagásvány </w:t>
            </w:r>
            <w:proofErr w:type="gramStart"/>
            <w:r>
              <w:rPr>
                <w:sz w:val="16"/>
                <w:szCs w:val="16"/>
              </w:rPr>
              <w:t>tartalom &gt;30</w:t>
            </w:r>
            <w:proofErr w:type="gramEnd"/>
            <w:r>
              <w:rPr>
                <w:sz w:val="16"/>
                <w:szCs w:val="16"/>
              </w:rPr>
              <w:t xml:space="preserve">%-amontmorillonit.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1412</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6 000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133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28</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3. Kaolin</w:t>
            </w:r>
          </w:p>
        </w:tc>
        <w:tc>
          <w:tcPr>
            <w:tcW w:w="2268" w:type="dxa"/>
            <w:tcBorders>
              <w:top w:val="nil"/>
              <w:left w:val="nil"/>
              <w:bottom w:val="single" w:sz="4" w:space="0" w:color="auto"/>
              <w:right w:val="single" w:sz="4" w:space="0" w:color="auto"/>
            </w:tcBorders>
          </w:tcPr>
          <w:p w:rsidR="00153F2F" w:rsidRDefault="00604D51">
            <w:pPr>
              <w:widowControl w:val="0"/>
              <w:spacing w:after="0"/>
              <w:ind w:firstLine="0"/>
              <w:jc w:val="left"/>
              <w:rPr>
                <w:b/>
                <w:bCs/>
                <w:sz w:val="16"/>
                <w:szCs w:val="16"/>
              </w:rPr>
            </w:pPr>
            <w:r>
              <w:rPr>
                <w:sz w:val="16"/>
                <w:szCs w:val="16"/>
              </w:rPr>
              <w:t xml:space="preserve">Azon </w:t>
            </w:r>
            <w:proofErr w:type="spellStart"/>
            <w:r>
              <w:rPr>
                <w:sz w:val="16"/>
                <w:szCs w:val="16"/>
              </w:rPr>
              <w:t>nemesagyag</w:t>
            </w:r>
            <w:proofErr w:type="spellEnd"/>
            <w:r>
              <w:rPr>
                <w:sz w:val="16"/>
                <w:szCs w:val="16"/>
              </w:rPr>
              <w:t xml:space="preserve"> mely összetételében az agyagásvány tartalom legalább 75%-a kaolin, (Al</w:t>
            </w:r>
            <w:r>
              <w:rPr>
                <w:sz w:val="16"/>
                <w:szCs w:val="16"/>
                <w:vertAlign w:val="subscript"/>
              </w:rPr>
              <w:t>2</w:t>
            </w:r>
            <w:r>
              <w:rPr>
                <w:sz w:val="16"/>
                <w:szCs w:val="16"/>
              </w:rPr>
              <w:t>O</w:t>
            </w:r>
            <w:r>
              <w:rPr>
                <w:sz w:val="16"/>
                <w:szCs w:val="16"/>
                <w:vertAlign w:val="subscript"/>
              </w:rPr>
              <w:t>3</w:t>
            </w:r>
            <w:r>
              <w:rPr>
                <w:sz w:val="16"/>
                <w:szCs w:val="16"/>
              </w:rPr>
              <w:t xml:space="preserve"> min. 30%) Fe</w:t>
            </w:r>
            <w:r>
              <w:rPr>
                <w:sz w:val="16"/>
                <w:szCs w:val="16"/>
                <w:vertAlign w:val="subscript"/>
              </w:rPr>
              <w:t>2</w:t>
            </w:r>
            <w:r>
              <w:rPr>
                <w:sz w:val="16"/>
                <w:szCs w:val="16"/>
              </w:rPr>
              <w:t>O</w:t>
            </w:r>
            <w:r>
              <w:rPr>
                <w:sz w:val="16"/>
                <w:szCs w:val="16"/>
                <w:vertAlign w:val="subscript"/>
              </w:rPr>
              <w:t>3</w:t>
            </w:r>
            <w:r>
              <w:rPr>
                <w:sz w:val="16"/>
                <w:szCs w:val="16"/>
              </w:rPr>
              <w:t>max 1,0%, K</w:t>
            </w:r>
            <w:r>
              <w:rPr>
                <w:sz w:val="16"/>
                <w:szCs w:val="16"/>
                <w:vertAlign w:val="subscript"/>
              </w:rPr>
              <w:t>2</w:t>
            </w:r>
            <w:r>
              <w:rPr>
                <w:sz w:val="16"/>
                <w:szCs w:val="16"/>
              </w:rPr>
              <w:t xml:space="preserve">O </w:t>
            </w:r>
            <w:proofErr w:type="spellStart"/>
            <w:r>
              <w:rPr>
                <w:sz w:val="16"/>
                <w:szCs w:val="16"/>
              </w:rPr>
              <w:t>max</w:t>
            </w:r>
            <w:proofErr w:type="spellEnd"/>
            <w:r>
              <w:rPr>
                <w:sz w:val="16"/>
                <w:szCs w:val="16"/>
              </w:rPr>
              <w:t xml:space="preserve"> 2,5%, SO</w:t>
            </w:r>
            <w:r>
              <w:rPr>
                <w:sz w:val="16"/>
                <w:szCs w:val="16"/>
                <w:vertAlign w:val="subscript"/>
              </w:rPr>
              <w:t>3</w:t>
            </w:r>
            <w:r>
              <w:rPr>
                <w:sz w:val="16"/>
                <w:szCs w:val="16"/>
              </w:rPr>
              <w:t xml:space="preserve">max. 1,5%, iszapolási maradék a 0,063 mm-es </w:t>
            </w:r>
            <w:proofErr w:type="gramStart"/>
            <w:r>
              <w:rPr>
                <w:sz w:val="16"/>
                <w:szCs w:val="16"/>
              </w:rPr>
              <w:t xml:space="preserve">szitán  </w:t>
            </w:r>
            <w:proofErr w:type="spellStart"/>
            <w:r>
              <w:rPr>
                <w:sz w:val="16"/>
                <w:szCs w:val="16"/>
              </w:rPr>
              <w:t>max</w:t>
            </w:r>
            <w:proofErr w:type="spellEnd"/>
            <w:proofErr w:type="gramEnd"/>
            <w:r>
              <w:rPr>
                <w:sz w:val="16"/>
                <w:szCs w:val="16"/>
              </w:rPr>
              <w:t xml:space="preserve">. 10%.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1413</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37 500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4100 Kaolinos agyag</w:t>
            </w:r>
          </w:p>
        </w:tc>
      </w:tr>
      <w:tr w:rsidR="00153F2F">
        <w:trPr>
          <w:cantSplit/>
          <w:trHeight w:val="76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29</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4. Kaolinos agyag</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sz w:val="16"/>
                <w:szCs w:val="16"/>
              </w:rPr>
              <w:t xml:space="preserve">Azon agyag nyersanyag (tűzállóagyag), mely összetételében az agyagásvány </w:t>
            </w:r>
            <w:proofErr w:type="gramStart"/>
            <w:r>
              <w:rPr>
                <w:sz w:val="16"/>
                <w:szCs w:val="16"/>
              </w:rPr>
              <w:t>tartalom &gt;60</w:t>
            </w:r>
            <w:proofErr w:type="gramEnd"/>
            <w:r>
              <w:rPr>
                <w:sz w:val="16"/>
                <w:szCs w:val="16"/>
              </w:rPr>
              <w:t xml:space="preserve">%-a kaolinit.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1414</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5 600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4100 Tűz- és saválló agyag</w:t>
            </w:r>
          </w:p>
        </w:tc>
      </w:tr>
      <w:tr w:rsidR="00153F2F">
        <w:trPr>
          <w:cantSplit/>
          <w:trHeight w:val="76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30</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5.  </w:t>
            </w:r>
            <w:proofErr w:type="spellStart"/>
            <w:r>
              <w:rPr>
                <w:b/>
                <w:bCs/>
                <w:sz w:val="16"/>
                <w:szCs w:val="16"/>
              </w:rPr>
              <w:t>Illites</w:t>
            </w:r>
            <w:proofErr w:type="spellEnd"/>
            <w:r>
              <w:rPr>
                <w:b/>
                <w:bCs/>
                <w:sz w:val="16"/>
                <w:szCs w:val="16"/>
              </w:rPr>
              <w:t xml:space="preserve"> agyag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Azon agyag nyersanyag, mely összetételében az agyagásvány </w:t>
            </w:r>
            <w:proofErr w:type="gramStart"/>
            <w:r>
              <w:rPr>
                <w:sz w:val="16"/>
                <w:szCs w:val="16"/>
              </w:rPr>
              <w:t>tartalom &gt;60</w:t>
            </w:r>
            <w:proofErr w:type="gramEnd"/>
            <w:r>
              <w:rPr>
                <w:sz w:val="16"/>
                <w:szCs w:val="16"/>
              </w:rPr>
              <w:t xml:space="preserve">%-a </w:t>
            </w:r>
            <w:proofErr w:type="spellStart"/>
            <w:r>
              <w:rPr>
                <w:sz w:val="16"/>
                <w:szCs w:val="16"/>
              </w:rPr>
              <w:t>kaolinit-illit</w:t>
            </w:r>
            <w:proofErr w:type="spellEnd"/>
            <w:r>
              <w:rPr>
                <w:sz w:val="16"/>
                <w:szCs w:val="16"/>
              </w:rPr>
              <w:t xml:space="preserve">.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1415</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21 400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4100 </w:t>
            </w:r>
            <w:proofErr w:type="spellStart"/>
            <w:r>
              <w:rPr>
                <w:sz w:val="16"/>
                <w:szCs w:val="16"/>
              </w:rPr>
              <w:t>Illitesagag</w:t>
            </w:r>
            <w:proofErr w:type="spellEnd"/>
          </w:p>
        </w:tc>
      </w:tr>
      <w:tr w:rsidR="00153F2F">
        <w:trPr>
          <w:cantSplit/>
          <w:trHeight w:val="105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31</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6. </w:t>
            </w:r>
            <w:proofErr w:type="spellStart"/>
            <w:r>
              <w:rPr>
                <w:b/>
                <w:bCs/>
                <w:sz w:val="16"/>
                <w:szCs w:val="16"/>
              </w:rPr>
              <w:t>Keramzit-agyag</w:t>
            </w:r>
            <w:proofErr w:type="spellEnd"/>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Azon agyag nyersanyag, amelynek kevert agyagásvány tartalma Fe</w:t>
            </w:r>
            <w:r>
              <w:rPr>
                <w:sz w:val="16"/>
                <w:szCs w:val="16"/>
                <w:vertAlign w:val="subscript"/>
              </w:rPr>
              <w:t>2</w:t>
            </w:r>
            <w:r>
              <w:rPr>
                <w:sz w:val="16"/>
                <w:szCs w:val="16"/>
              </w:rPr>
              <w:t>O</w:t>
            </w:r>
            <w:r>
              <w:rPr>
                <w:sz w:val="16"/>
                <w:szCs w:val="16"/>
                <w:vertAlign w:val="subscript"/>
              </w:rPr>
              <w:t>3</w:t>
            </w:r>
            <w:r>
              <w:rPr>
                <w:sz w:val="16"/>
                <w:szCs w:val="16"/>
              </w:rPr>
              <w:t xml:space="preserve"> és </w:t>
            </w:r>
            <w:proofErr w:type="spellStart"/>
            <w:r>
              <w:rPr>
                <w:sz w:val="16"/>
                <w:szCs w:val="16"/>
              </w:rPr>
              <w:t>szervesanyag</w:t>
            </w:r>
            <w:proofErr w:type="spellEnd"/>
            <w:r>
              <w:rPr>
                <w:sz w:val="16"/>
                <w:szCs w:val="16"/>
              </w:rPr>
              <w:t xml:space="preserve"> tartalma révén hő hatására duzzad, és </w:t>
            </w:r>
            <w:proofErr w:type="gramStart"/>
            <w:r>
              <w:rPr>
                <w:sz w:val="16"/>
                <w:szCs w:val="16"/>
              </w:rPr>
              <w:t>ezáltal</w:t>
            </w:r>
            <w:proofErr w:type="gramEnd"/>
            <w:r>
              <w:rPr>
                <w:sz w:val="16"/>
                <w:szCs w:val="16"/>
              </w:rPr>
              <w:t xml:space="preserve"> porózussá alakul (</w:t>
            </w:r>
            <w:proofErr w:type="spellStart"/>
            <w:r>
              <w:rPr>
                <w:sz w:val="16"/>
                <w:szCs w:val="16"/>
              </w:rPr>
              <w:t>keramzit</w:t>
            </w:r>
            <w:proofErr w:type="spellEnd"/>
            <w:r>
              <w:rPr>
                <w:sz w:val="16"/>
                <w:szCs w:val="16"/>
              </w:rPr>
              <w:t xml:space="preserve">).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1416</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7 200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102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32</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7. Festékföld agyag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Azon agyag nyersanyag, amelynek kevert agyagásvány tartalma, jó fedőképessége és különböző fémoxid (</w:t>
            </w:r>
            <w:proofErr w:type="spellStart"/>
            <w:r>
              <w:rPr>
                <w:sz w:val="16"/>
                <w:szCs w:val="16"/>
              </w:rPr>
              <w:t>Fe</w:t>
            </w:r>
            <w:proofErr w:type="spellEnd"/>
            <w:r>
              <w:rPr>
                <w:sz w:val="16"/>
                <w:szCs w:val="16"/>
              </w:rPr>
              <w:t xml:space="preserve">, </w:t>
            </w:r>
            <w:proofErr w:type="spellStart"/>
            <w:r>
              <w:rPr>
                <w:sz w:val="16"/>
                <w:szCs w:val="16"/>
              </w:rPr>
              <w:t>Mn</w:t>
            </w:r>
            <w:proofErr w:type="spellEnd"/>
            <w:r>
              <w:rPr>
                <w:sz w:val="16"/>
                <w:szCs w:val="16"/>
              </w:rPr>
              <w:t xml:space="preserve">. </w:t>
            </w:r>
            <w:proofErr w:type="gramStart"/>
            <w:r>
              <w:rPr>
                <w:sz w:val="16"/>
                <w:szCs w:val="16"/>
              </w:rPr>
              <w:t>)</w:t>
            </w:r>
            <w:proofErr w:type="gramEnd"/>
            <w:r>
              <w:rPr>
                <w:sz w:val="16"/>
                <w:szCs w:val="16"/>
              </w:rPr>
              <w:t xml:space="preserve"> tartalma révén egyöntetű, jól definiálható színe van.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1417</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1 200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255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33</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8. Képlékeny </w:t>
            </w:r>
            <w:proofErr w:type="spellStart"/>
            <w:r>
              <w:rPr>
                <w:b/>
                <w:bCs/>
                <w:sz w:val="16"/>
                <w:szCs w:val="16"/>
              </w:rPr>
              <w:t>agyag-I</w:t>
            </w:r>
            <w:proofErr w:type="spellEnd"/>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Azon agyag nyersanyag, amelynek kevert </w:t>
            </w:r>
            <w:proofErr w:type="gramStart"/>
            <w:r>
              <w:rPr>
                <w:sz w:val="16"/>
                <w:szCs w:val="16"/>
              </w:rPr>
              <w:t>agyagásvány  tartalma</w:t>
            </w:r>
            <w:proofErr w:type="gramEnd"/>
            <w:r>
              <w:rPr>
                <w:sz w:val="16"/>
                <w:szCs w:val="16"/>
              </w:rPr>
              <w:t xml:space="preserve"> révén képlékeny,  formázható és kedvező hajlítószilárdsági tulajdonságokkal bírnak. Égetéskor csekély </w:t>
            </w:r>
            <w:proofErr w:type="gramStart"/>
            <w:r>
              <w:rPr>
                <w:sz w:val="16"/>
                <w:szCs w:val="16"/>
              </w:rPr>
              <w:t>zsugorodással  hézagosan</w:t>
            </w:r>
            <w:proofErr w:type="gramEnd"/>
            <w:r>
              <w:rPr>
                <w:sz w:val="16"/>
                <w:szCs w:val="16"/>
              </w:rPr>
              <w:t xml:space="preserve"> vagy tömören égnek ki. Összetételében és fizikai tulajdonságában: finom elosztású kalcit </w:t>
            </w:r>
            <w:proofErr w:type="spellStart"/>
            <w:r>
              <w:rPr>
                <w:sz w:val="16"/>
                <w:szCs w:val="16"/>
              </w:rPr>
              <w:t>max</w:t>
            </w:r>
            <w:proofErr w:type="spellEnd"/>
            <w:r>
              <w:rPr>
                <w:sz w:val="16"/>
                <w:szCs w:val="16"/>
              </w:rPr>
              <w:t xml:space="preserve">. 10%, szabadkvarc </w:t>
            </w:r>
            <w:proofErr w:type="spellStart"/>
            <w:r>
              <w:rPr>
                <w:sz w:val="16"/>
                <w:szCs w:val="16"/>
              </w:rPr>
              <w:t>max</w:t>
            </w:r>
            <w:proofErr w:type="spellEnd"/>
            <w:r>
              <w:rPr>
                <w:sz w:val="16"/>
                <w:szCs w:val="16"/>
              </w:rPr>
              <w:t xml:space="preserve">. 25%, 10 </w:t>
            </w:r>
            <w:proofErr w:type="spellStart"/>
            <w:r>
              <w:rPr>
                <w:sz w:val="16"/>
                <w:szCs w:val="16"/>
              </w:rPr>
              <w:t>µm</w:t>
            </w:r>
            <w:proofErr w:type="spellEnd"/>
            <w:r>
              <w:rPr>
                <w:sz w:val="16"/>
                <w:szCs w:val="16"/>
              </w:rPr>
              <w:t xml:space="preserve"> alatti szemcse min. 50%, +0,2 mm szemcse tartalom </w:t>
            </w:r>
            <w:proofErr w:type="spellStart"/>
            <w:r>
              <w:rPr>
                <w:sz w:val="16"/>
                <w:szCs w:val="16"/>
              </w:rPr>
              <w:t>max</w:t>
            </w:r>
            <w:proofErr w:type="spellEnd"/>
            <w:r>
              <w:rPr>
                <w:sz w:val="16"/>
                <w:szCs w:val="16"/>
              </w:rPr>
              <w:t xml:space="preserve">. 0,5%, +0,2mm mész </w:t>
            </w:r>
            <w:proofErr w:type="spellStart"/>
            <w:r>
              <w:rPr>
                <w:sz w:val="16"/>
                <w:szCs w:val="16"/>
              </w:rPr>
              <w:t>konkréciómax</w:t>
            </w:r>
            <w:proofErr w:type="spellEnd"/>
            <w:r>
              <w:rPr>
                <w:sz w:val="16"/>
                <w:szCs w:val="16"/>
              </w:rPr>
              <w:t xml:space="preserve">. 0,5%.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1418</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3 000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280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34</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9.  Képlékeny </w:t>
            </w:r>
            <w:proofErr w:type="spellStart"/>
            <w:r>
              <w:rPr>
                <w:b/>
                <w:bCs/>
                <w:sz w:val="16"/>
                <w:szCs w:val="16"/>
              </w:rPr>
              <w:t>agyag-II</w:t>
            </w:r>
            <w:proofErr w:type="spellEnd"/>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Azon agyag nyersanyag, amelynek kevert agyagásvány tartalma révén képlékeny, formázható és kedvező hajlítószilárdsági tulajdonságokkal bírnak. Égetéskor csekély zsugorodással és hézagosan vagy tömören égnek ki. Összetételében és fizikai tulajdonságában: finom elosztású kalcit </w:t>
            </w:r>
            <w:proofErr w:type="spellStart"/>
            <w:r>
              <w:rPr>
                <w:sz w:val="16"/>
                <w:szCs w:val="16"/>
              </w:rPr>
              <w:t>max</w:t>
            </w:r>
            <w:proofErr w:type="spellEnd"/>
            <w:r>
              <w:rPr>
                <w:sz w:val="16"/>
                <w:szCs w:val="16"/>
              </w:rPr>
              <w:t xml:space="preserve">. 30%, szabadkvarc </w:t>
            </w:r>
            <w:proofErr w:type="spellStart"/>
            <w:r>
              <w:rPr>
                <w:sz w:val="16"/>
                <w:szCs w:val="16"/>
              </w:rPr>
              <w:t>max</w:t>
            </w:r>
            <w:proofErr w:type="spellEnd"/>
            <w:r>
              <w:rPr>
                <w:sz w:val="16"/>
                <w:szCs w:val="16"/>
              </w:rPr>
              <w:t xml:space="preserve">. 35%, 10 </w:t>
            </w:r>
            <w:proofErr w:type="spellStart"/>
            <w:r>
              <w:rPr>
                <w:sz w:val="16"/>
                <w:szCs w:val="16"/>
              </w:rPr>
              <w:t>µm</w:t>
            </w:r>
            <w:proofErr w:type="spellEnd"/>
            <w:r>
              <w:rPr>
                <w:sz w:val="16"/>
                <w:szCs w:val="16"/>
              </w:rPr>
              <w:t xml:space="preserve"> alatti szemcse min. 30%, +0,2 mm szemcse tartalom </w:t>
            </w:r>
            <w:proofErr w:type="spellStart"/>
            <w:r>
              <w:rPr>
                <w:sz w:val="16"/>
                <w:szCs w:val="16"/>
              </w:rPr>
              <w:t>max</w:t>
            </w:r>
            <w:proofErr w:type="spellEnd"/>
            <w:r>
              <w:rPr>
                <w:sz w:val="16"/>
                <w:szCs w:val="16"/>
              </w:rPr>
              <w:t xml:space="preserve">. 1%, +0,2mm mész </w:t>
            </w:r>
            <w:proofErr w:type="spellStart"/>
            <w:r>
              <w:rPr>
                <w:sz w:val="16"/>
                <w:szCs w:val="16"/>
              </w:rPr>
              <w:t>konkréciómax</w:t>
            </w:r>
            <w:proofErr w:type="spellEnd"/>
            <w:r>
              <w:rPr>
                <w:sz w:val="16"/>
                <w:szCs w:val="16"/>
              </w:rPr>
              <w:t xml:space="preserve">. 1%.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1419</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1 300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4100 Agyag, képlékeny agyag</w:t>
            </w:r>
          </w:p>
        </w:tc>
      </w:tr>
      <w:tr w:rsidR="00153F2F">
        <w:trPr>
          <w:cantSplit/>
          <w:trHeight w:val="76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35</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2. Kőzetliszt, iszap </w:t>
            </w:r>
          </w:p>
        </w:tc>
        <w:tc>
          <w:tcPr>
            <w:tcW w:w="3119"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Zömében – legalább 60%-ban 0,06-0,002 mm méretű törmelékszemcsékből álló üledék, függetlenül kőzettani összetételétől és osztályozottságától. A törmelékszemcsék anyaga kvarc, csillám, agyagásvány, alárendelten egyéb kőzetalkotó ásvány. A kőzetliszt száraz, széteső. Az </w:t>
            </w:r>
            <w:proofErr w:type="gramStart"/>
            <w:r>
              <w:rPr>
                <w:sz w:val="16"/>
                <w:szCs w:val="16"/>
              </w:rPr>
              <w:t>iszap folyós</w:t>
            </w:r>
            <w:proofErr w:type="gramEnd"/>
            <w:r>
              <w:rPr>
                <w:sz w:val="16"/>
                <w:szCs w:val="16"/>
              </w:rPr>
              <w:t xml:space="preserve">, vízzel telített kőzetliszt. </w:t>
            </w: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1. Gyógyiszap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Gyógyászati célra alkalmas képlékeny iszap függetlenül a származási helytől és a kitermelési módszertől.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1421</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22 500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4100 Gyógyiszap</w:t>
            </w:r>
          </w:p>
        </w:tc>
      </w:tr>
      <w:tr w:rsidR="00153F2F">
        <w:trPr>
          <w:cantSplit/>
          <w:trHeight w:val="51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36</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2. Kőzetliszt, kőzetiszap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 kőzetliszt, iszap csoport leírásánál szereplő leírással azonos.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1422</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870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51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37</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3. </w:t>
            </w:r>
            <w:proofErr w:type="spellStart"/>
            <w:r>
              <w:rPr>
                <w:b/>
                <w:bCs/>
                <w:sz w:val="16"/>
                <w:szCs w:val="16"/>
              </w:rPr>
              <w:t>Aleurolit</w:t>
            </w:r>
            <w:proofErr w:type="spellEnd"/>
            <w:r>
              <w:rPr>
                <w:b/>
                <w:bCs/>
                <w:sz w:val="16"/>
                <w:szCs w:val="16"/>
              </w:rPr>
              <w:t xml:space="preserve"> (iszapkő) </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Cementált, kötött kőzetliszt méretű szemcsékből álló kőzet.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709" w:type="dxa"/>
            <w:tcBorders>
              <w:top w:val="nil"/>
              <w:left w:val="nil"/>
              <w:bottom w:val="single" w:sz="4" w:space="0" w:color="auto"/>
              <w:right w:val="single" w:sz="4" w:space="0" w:color="auto"/>
            </w:tcBorders>
            <w:vAlign w:val="bottom"/>
          </w:tcPr>
          <w:p w:rsidR="00153F2F" w:rsidRDefault="00604D51">
            <w:pPr>
              <w:widowControl w:val="0"/>
              <w:spacing w:after="0"/>
              <w:ind w:firstLine="0"/>
              <w:jc w:val="center"/>
              <w:rPr>
                <w:sz w:val="16"/>
                <w:szCs w:val="16"/>
              </w:rPr>
            </w:pPr>
            <w:r>
              <w:rPr>
                <w:sz w:val="16"/>
                <w:szCs w:val="16"/>
              </w:rPr>
              <w:t>1430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870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130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38</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4. Lösz</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Uralkodóan 0,05-0,02 mm méretű, szél által szállított, gyengén kötött törmelékszemcsékből álló üledékes kőzet. A gyenge kötést meszes anyag biztosítja.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bottom"/>
          </w:tcPr>
          <w:p w:rsidR="00153F2F" w:rsidRDefault="00604D51">
            <w:pPr>
              <w:widowControl w:val="0"/>
              <w:spacing w:after="0"/>
              <w:ind w:firstLine="0"/>
              <w:jc w:val="center"/>
              <w:rPr>
                <w:sz w:val="16"/>
                <w:szCs w:val="16"/>
              </w:rPr>
            </w:pPr>
            <w:r>
              <w:rPr>
                <w:sz w:val="16"/>
                <w:szCs w:val="16"/>
              </w:rPr>
              <w:t>1440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870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153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39</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5. Homok </w:t>
            </w:r>
          </w:p>
        </w:tc>
        <w:tc>
          <w:tcPr>
            <w:tcW w:w="3119"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Legalább 65%-ban 4,0-0,06 mm méretű, törmelékszemcsékből álló üledék, függetlenül kőzettani összetételüktől és osztályozottságuktól. A törmelékszemcsék anyaga legnagyobbrészt kvarc, kvarcit, lídit, kevesebb csillám és földpát. </w:t>
            </w: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1. Nemes homok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Azon homok nyersanyag, amelynek </w:t>
            </w:r>
            <w:proofErr w:type="gramStart"/>
            <w:r>
              <w:rPr>
                <w:sz w:val="16"/>
                <w:szCs w:val="16"/>
              </w:rPr>
              <w:t>SiO</w:t>
            </w:r>
            <w:r>
              <w:rPr>
                <w:sz w:val="16"/>
                <w:szCs w:val="16"/>
                <w:vertAlign w:val="subscript"/>
              </w:rPr>
              <w:t>2</w:t>
            </w:r>
            <w:r>
              <w:rPr>
                <w:sz w:val="16"/>
                <w:szCs w:val="16"/>
              </w:rPr>
              <w:t>tartalma &gt;90</w:t>
            </w:r>
            <w:proofErr w:type="gramEnd"/>
            <w:r>
              <w:rPr>
                <w:sz w:val="16"/>
                <w:szCs w:val="16"/>
              </w:rPr>
              <w:t>%, Fe</w:t>
            </w:r>
            <w:r>
              <w:rPr>
                <w:sz w:val="16"/>
                <w:szCs w:val="16"/>
                <w:vertAlign w:val="subscript"/>
              </w:rPr>
              <w:t>2</w:t>
            </w:r>
            <w:r>
              <w:rPr>
                <w:sz w:val="16"/>
                <w:szCs w:val="16"/>
              </w:rPr>
              <w:t>O</w:t>
            </w:r>
            <w:r>
              <w:rPr>
                <w:sz w:val="16"/>
                <w:szCs w:val="16"/>
                <w:vertAlign w:val="subscript"/>
              </w:rPr>
              <w:t>3</w:t>
            </w:r>
            <w:r>
              <w:rPr>
                <w:sz w:val="16"/>
                <w:szCs w:val="16"/>
              </w:rPr>
              <w:t xml:space="preserve"> + TiO</w:t>
            </w:r>
            <w:r>
              <w:rPr>
                <w:sz w:val="16"/>
                <w:szCs w:val="16"/>
                <w:vertAlign w:val="subscript"/>
              </w:rPr>
              <w:t>2</w:t>
            </w:r>
            <w:r>
              <w:rPr>
                <w:sz w:val="16"/>
                <w:szCs w:val="16"/>
              </w:rPr>
              <w:t xml:space="preserve"> tartalma &lt;2,5%, CaCO</w:t>
            </w:r>
            <w:r>
              <w:rPr>
                <w:sz w:val="16"/>
                <w:szCs w:val="16"/>
                <w:vertAlign w:val="subscript"/>
              </w:rPr>
              <w:t>3</w:t>
            </w:r>
            <w:r>
              <w:rPr>
                <w:sz w:val="16"/>
                <w:szCs w:val="16"/>
              </w:rPr>
              <w:t xml:space="preserve"> tartalma &lt;1,5%, és szemszerkezetének &gt;70%-a 1,0-0,06 mm között van. A szemcsék anyaga zömében kvarc és kvarcit. (kvarchomok).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1451</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2 300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4200 Kvarchomok</w:t>
            </w:r>
          </w:p>
        </w:tc>
      </w:tr>
      <w:tr w:rsidR="00153F2F">
        <w:trPr>
          <w:cantSplit/>
          <w:trHeight w:val="51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40</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2. Földpátos homok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Azon földpát tartalmú homok nyersanyag, amely legalább 20% földpátot tartalmaz.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1452</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9 600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51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41</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3. Homok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 homok csoport leírásánál szereplő leírással azonos.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1453</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870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4200 Homok</w:t>
            </w:r>
          </w:p>
        </w:tc>
      </w:tr>
      <w:tr w:rsidR="00153F2F">
        <w:trPr>
          <w:cantSplit/>
          <w:trHeight w:val="216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42</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6. Kavics  </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Zömében lekerekített durva-finom törmelékszemcsékből álló üledék, függetlenül kőzettani összetételüktől és osztályozottságától. A törmelékszemcsék anyaga legnagyobbrészt kvarc és metamorf kőzet. Szemszerkezetének legalább 60%-</w:t>
            </w:r>
            <w:proofErr w:type="gramStart"/>
            <w:r>
              <w:rPr>
                <w:sz w:val="16"/>
                <w:szCs w:val="16"/>
              </w:rPr>
              <w:t>a  4</w:t>
            </w:r>
            <w:proofErr w:type="gramEnd"/>
            <w:r>
              <w:rPr>
                <w:sz w:val="16"/>
                <w:szCs w:val="16"/>
              </w:rPr>
              <w:t xml:space="preserve">,0 mm-nél nagyobb átmérőjű.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1460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1050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4300 Kavics</w:t>
            </w:r>
          </w:p>
        </w:tc>
      </w:tr>
      <w:tr w:rsidR="00153F2F">
        <w:trPr>
          <w:cantSplit/>
          <w:trHeight w:val="102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43</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7. Átmeneti törmelékes nyersanyagok</w:t>
            </w:r>
          </w:p>
        </w:tc>
        <w:tc>
          <w:tcPr>
            <w:tcW w:w="3119"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Agyag- homok- és kavics méretű törmelékes szemcsékből álló laza üledékes kőzet. A szemcsék anyaga elsősorban kvarc, kvarcit, csillám, metamorf kőzettörmelék. Az agyag- frakció elsődlegesen </w:t>
            </w:r>
            <w:proofErr w:type="spellStart"/>
            <w:r>
              <w:rPr>
                <w:sz w:val="16"/>
                <w:szCs w:val="16"/>
              </w:rPr>
              <w:t>illit</w:t>
            </w:r>
            <w:proofErr w:type="spellEnd"/>
            <w:r>
              <w:rPr>
                <w:sz w:val="16"/>
                <w:szCs w:val="16"/>
              </w:rPr>
              <w:t xml:space="preserve"> és </w:t>
            </w:r>
            <w:proofErr w:type="spellStart"/>
            <w:r>
              <w:rPr>
                <w:sz w:val="16"/>
                <w:szCs w:val="16"/>
              </w:rPr>
              <w:t>montmorillonitból</w:t>
            </w:r>
            <w:proofErr w:type="spellEnd"/>
            <w:r>
              <w:rPr>
                <w:sz w:val="16"/>
                <w:szCs w:val="16"/>
              </w:rPr>
              <w:t xml:space="preserve"> áll, alárendelten kaolin. </w:t>
            </w: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1. Homokos kavics</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sz w:val="16"/>
                <w:szCs w:val="16"/>
              </w:rPr>
              <w:t xml:space="preserve">Azon kevert kavics és homok nyersanyag, </w:t>
            </w:r>
            <w:proofErr w:type="gramStart"/>
            <w:r>
              <w:rPr>
                <w:sz w:val="16"/>
                <w:szCs w:val="16"/>
              </w:rPr>
              <w:t>amelynek</w:t>
            </w:r>
            <w:proofErr w:type="gramEnd"/>
            <w:r>
              <w:rPr>
                <w:sz w:val="16"/>
                <w:szCs w:val="16"/>
              </w:rPr>
              <w:t xml:space="preserve"> szemszerkezetének legalább 30%-a  0,06-4,0 mm és legalább 50%-a 4,0 mm-nél nagyobb átmérőjű.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1471</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1150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129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44</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2. Kavicsos homok</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Azon kevert kavics és homok nyersanyag, </w:t>
            </w:r>
            <w:proofErr w:type="gramStart"/>
            <w:r>
              <w:rPr>
                <w:sz w:val="16"/>
                <w:szCs w:val="16"/>
              </w:rPr>
              <w:t>amelynek</w:t>
            </w:r>
            <w:proofErr w:type="gramEnd"/>
            <w:r>
              <w:rPr>
                <w:sz w:val="16"/>
                <w:szCs w:val="16"/>
              </w:rPr>
              <w:t xml:space="preserve"> szemszerkezetének legalább 30%-a 4,0 mm-nél nagyobb és a 0,06-4,0 mm tartomány részaránya legalább 50% .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1472</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1150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96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45</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3. Agyagos törmelék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Azon kevert törmelékes szemcsékből álló nyersanyag, amelyben 0,06 mm alatti szemcsék aránya meghaladja a 30%-ot.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1473</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133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46</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val="restart"/>
            <w:tcBorders>
              <w:top w:val="nil"/>
              <w:left w:val="single" w:sz="4" w:space="0" w:color="auto"/>
              <w:bottom w:val="nil"/>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8. Homokkő- konglomerátum  </w:t>
            </w:r>
          </w:p>
        </w:tc>
        <w:tc>
          <w:tcPr>
            <w:tcW w:w="3119" w:type="dxa"/>
            <w:vMerge w:val="restart"/>
            <w:tcBorders>
              <w:top w:val="nil"/>
              <w:left w:val="single" w:sz="4" w:space="0" w:color="auto"/>
              <w:bottom w:val="nil"/>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A homok és/vagy kavics méretű szemcsék összecementálódásával keletkezik. A cementáló anyag leggyakrabban mész, </w:t>
            </w:r>
            <w:proofErr w:type="spellStart"/>
            <w:r>
              <w:rPr>
                <w:sz w:val="16"/>
                <w:szCs w:val="16"/>
              </w:rPr>
              <w:t>limonit</w:t>
            </w:r>
            <w:proofErr w:type="spellEnd"/>
            <w:r>
              <w:rPr>
                <w:sz w:val="16"/>
                <w:szCs w:val="16"/>
              </w:rPr>
              <w:t xml:space="preserve"> vagy kova, ritkábban agyag. </w:t>
            </w: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1. Tömbös homokkő-konglomerátum. </w:t>
            </w:r>
          </w:p>
        </w:tc>
        <w:tc>
          <w:tcPr>
            <w:tcW w:w="2268" w:type="dxa"/>
            <w:tcBorders>
              <w:top w:val="nil"/>
              <w:left w:val="nil"/>
              <w:bottom w:val="single" w:sz="4" w:space="0" w:color="auto"/>
              <w:right w:val="single" w:sz="4" w:space="0" w:color="auto"/>
            </w:tcBorders>
            <w:shd w:val="clear" w:color="auto" w:fill="FFFFFF"/>
            <w:vAlign w:val="center"/>
          </w:tcPr>
          <w:p w:rsidR="00153F2F" w:rsidRDefault="00604D51">
            <w:pPr>
              <w:widowControl w:val="0"/>
              <w:spacing w:after="0"/>
              <w:ind w:firstLine="0"/>
              <w:jc w:val="left"/>
              <w:rPr>
                <w:b/>
                <w:bCs/>
                <w:sz w:val="16"/>
                <w:szCs w:val="16"/>
              </w:rPr>
            </w:pPr>
            <w:r>
              <w:rPr>
                <w:sz w:val="16"/>
                <w:szCs w:val="16"/>
              </w:rPr>
              <w:t>Azon homokkő-konglomerátum nyersanyag, amely függetlenül a szemcsék és a kötőanyag milyenségétől legalább 40 %-</w:t>
            </w:r>
            <w:r>
              <w:rPr>
                <w:sz w:val="16"/>
                <w:szCs w:val="16"/>
              </w:rPr>
              <w:br/>
            </w:r>
            <w:proofErr w:type="spellStart"/>
            <w:r>
              <w:rPr>
                <w:sz w:val="16"/>
                <w:szCs w:val="16"/>
              </w:rPr>
              <w:t>ban</w:t>
            </w:r>
            <w:proofErr w:type="spellEnd"/>
            <w:r>
              <w:rPr>
                <w:sz w:val="16"/>
                <w:szCs w:val="16"/>
              </w:rPr>
              <w:t>, legalább 0,25 m</w:t>
            </w:r>
            <w:r>
              <w:rPr>
                <w:sz w:val="16"/>
                <w:szCs w:val="16"/>
                <w:vertAlign w:val="superscript"/>
              </w:rPr>
              <w:t>3</w:t>
            </w:r>
            <w:r>
              <w:rPr>
                <w:sz w:val="16"/>
                <w:szCs w:val="16"/>
              </w:rPr>
              <w:t xml:space="preserve"> méretű tovább feldolgozásra alkalmas tömbökben fejthető.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1481</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7 800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4400 Tömbös homokkő</w:t>
            </w:r>
          </w:p>
        </w:tc>
      </w:tr>
      <w:tr w:rsidR="00153F2F">
        <w:trPr>
          <w:cantSplit/>
          <w:trHeight w:val="76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47</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2. </w:t>
            </w:r>
            <w:proofErr w:type="gramStart"/>
            <w:r>
              <w:rPr>
                <w:b/>
                <w:bCs/>
                <w:sz w:val="16"/>
                <w:szCs w:val="16"/>
              </w:rPr>
              <w:t>Kova kötésű</w:t>
            </w:r>
            <w:proofErr w:type="gramEnd"/>
            <w:r>
              <w:rPr>
                <w:b/>
                <w:bCs/>
                <w:sz w:val="16"/>
                <w:szCs w:val="16"/>
              </w:rPr>
              <w:t xml:space="preserve"> homokkő-konglomerátum</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Azon </w:t>
            </w:r>
            <w:proofErr w:type="gramStart"/>
            <w:r>
              <w:rPr>
                <w:sz w:val="16"/>
                <w:szCs w:val="16"/>
              </w:rPr>
              <w:t>homokkő-konglomerátum  nyersanyag</w:t>
            </w:r>
            <w:proofErr w:type="gramEnd"/>
            <w:r>
              <w:rPr>
                <w:sz w:val="16"/>
                <w:szCs w:val="16"/>
              </w:rPr>
              <w:t xml:space="preserve">, amelynek kötőanyaga &gt;60%-ban kova.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1482</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8 300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4400 Kvarchomokkő</w:t>
            </w:r>
          </w:p>
        </w:tc>
      </w:tr>
      <w:tr w:rsidR="00153F2F">
        <w:trPr>
          <w:cantSplit/>
          <w:trHeight w:val="76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48</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3. Karbonát kötésű homokkő-konglomerátum</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sz w:val="16"/>
                <w:szCs w:val="16"/>
              </w:rPr>
              <w:t xml:space="preserve">Azon </w:t>
            </w:r>
            <w:proofErr w:type="gramStart"/>
            <w:r>
              <w:rPr>
                <w:sz w:val="16"/>
                <w:szCs w:val="16"/>
              </w:rPr>
              <w:t>homokkő-konglomerátum  nyersanyag</w:t>
            </w:r>
            <w:proofErr w:type="gramEnd"/>
            <w:r>
              <w:rPr>
                <w:sz w:val="16"/>
                <w:szCs w:val="16"/>
              </w:rPr>
              <w:t xml:space="preserve">, amelynek kötőanyaga  &gt;60%-bankarbonát.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1483</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6 600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204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49</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4. Kaolinos homokkő-konglomerátum</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 homok és kavics méretű szemcsék laza összecementálódásából álló nyersanyag, </w:t>
            </w:r>
            <w:proofErr w:type="gramStart"/>
            <w:r>
              <w:rPr>
                <w:sz w:val="16"/>
                <w:szCs w:val="16"/>
              </w:rPr>
              <w:t>amelyben</w:t>
            </w:r>
            <w:proofErr w:type="gramEnd"/>
            <w:r>
              <w:rPr>
                <w:sz w:val="16"/>
                <w:szCs w:val="16"/>
              </w:rPr>
              <w:t xml:space="preserve"> a kötőanyagban több-kevesebb (általában 10-20%) agyag (kaolin) található. A szemcsék anyaga általában kvarc-, kvarcit-metamorf kőzet. A homokkő szemcse-összetétele legalább 60%-ban homok méretű.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1484</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2 300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4400 Kaolinos homokkő</w:t>
            </w:r>
          </w:p>
        </w:tc>
      </w:tr>
      <w:tr w:rsidR="00153F2F">
        <w:trPr>
          <w:cantSplit/>
          <w:trHeight w:val="204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50</w:t>
            </w:r>
          </w:p>
        </w:tc>
        <w:tc>
          <w:tcPr>
            <w:tcW w:w="1701" w:type="dxa"/>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5. Homokkő-</w:t>
            </w:r>
            <w:r>
              <w:rPr>
                <w:b/>
                <w:bCs/>
                <w:sz w:val="16"/>
                <w:szCs w:val="16"/>
              </w:rPr>
              <w:br/>
              <w:t>konglomerátum</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Az előző (1-3) alcsoportokba nem sorolható homokkő-konglomerátum</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1485</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vertAlign w:val="superscript"/>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r>
      <w:tr w:rsidR="00153F2F">
        <w:trPr>
          <w:cantSplit/>
          <w:trHeight w:val="208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51</w:t>
            </w:r>
          </w:p>
        </w:tc>
        <w:tc>
          <w:tcPr>
            <w:tcW w:w="1701"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b/>
                <w:bCs/>
                <w:sz w:val="16"/>
                <w:szCs w:val="16"/>
              </w:rPr>
              <w:t xml:space="preserve">6. Vegyi és/illetve </w:t>
            </w:r>
            <w:proofErr w:type="spellStart"/>
            <w:r>
              <w:rPr>
                <w:b/>
                <w:bCs/>
                <w:sz w:val="16"/>
                <w:szCs w:val="16"/>
              </w:rPr>
              <w:t>biogén</w:t>
            </w:r>
            <w:proofErr w:type="spellEnd"/>
            <w:r>
              <w:rPr>
                <w:b/>
                <w:bCs/>
                <w:sz w:val="16"/>
                <w:szCs w:val="16"/>
              </w:rPr>
              <w:t xml:space="preserve"> üledékes kőzetek. </w:t>
            </w:r>
            <w:r>
              <w:rPr>
                <w:sz w:val="16"/>
                <w:szCs w:val="16"/>
              </w:rPr>
              <w:t xml:space="preserve">Anyaguk nagyrészt kémiai kicsapódással vagy biokémiai folyamatokkal jön létre. </w:t>
            </w: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1. Édesvízi mészkő (</w:t>
            </w:r>
            <w:proofErr w:type="spellStart"/>
            <w:r>
              <w:rPr>
                <w:b/>
                <w:bCs/>
                <w:sz w:val="16"/>
                <w:szCs w:val="16"/>
              </w:rPr>
              <w:t>travertino</w:t>
            </w:r>
            <w:proofErr w:type="spellEnd"/>
            <w:r>
              <w:rPr>
                <w:b/>
                <w:bCs/>
                <w:sz w:val="16"/>
                <w:szCs w:val="16"/>
              </w:rPr>
              <w:t xml:space="preserve">) </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Forrásból vagy tavakból kivált mészkő (CaCO</w:t>
            </w:r>
            <w:r>
              <w:rPr>
                <w:sz w:val="16"/>
                <w:szCs w:val="16"/>
                <w:vertAlign w:val="subscript"/>
              </w:rPr>
              <w:t>3</w:t>
            </w:r>
            <w:r>
              <w:rPr>
                <w:sz w:val="16"/>
                <w:szCs w:val="16"/>
              </w:rPr>
              <w:t xml:space="preserve">), lyukacsos-porózus szerkezetű, közepes keménységű, gyakran növényi struktúrák őrződnek meg benne. Kalcium-karbonát tartalma legalább 75%, oldási maradék legfeljebb 10%. Könnyen faragható, vágható.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1510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7 200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219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52</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2. Durva mészkő/puha mészkő </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Sekélytengeri lerakódású, meszes </w:t>
            </w:r>
            <w:proofErr w:type="spellStart"/>
            <w:r>
              <w:rPr>
                <w:sz w:val="16"/>
                <w:szCs w:val="16"/>
              </w:rPr>
              <w:t>molluszkahéjak</w:t>
            </w:r>
            <w:proofErr w:type="spellEnd"/>
            <w:r>
              <w:rPr>
                <w:sz w:val="16"/>
                <w:szCs w:val="16"/>
              </w:rPr>
              <w:t xml:space="preserve"> törmelékéből álló, gyakran teljes ősmaradványokat is tartalmazó, porózus, alacsony keménységű mészkő. Kalcium-karbonát tartalma legalább 80%, oldási maradék tartalma legfeljebb 10%. Könnyen faragható, vágható.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1520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1900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4500 Puha (mállott) mészkő</w:t>
            </w:r>
          </w:p>
        </w:tc>
      </w:tr>
      <w:tr w:rsidR="00153F2F">
        <w:trPr>
          <w:cantSplit/>
          <w:trHeight w:val="141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53</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3. Tömött, kristályos mészkő </w:t>
            </w:r>
          </w:p>
        </w:tc>
        <w:tc>
          <w:tcPr>
            <w:tcW w:w="3119"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Tengeri lerakódású mésziszap átkristályosodásával keletkezett, mikrokristályos kalcitból álló, tömött szövetű, gyakran vastagpados elválású, szilánkos törésű kőzet. Esetenként ősmaradványokkal. Kalcium-karbonát tartalma legalább 80%, oldási maradék tartalma legfeljebb 15%. </w:t>
            </w: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1. Tömb kristályos mészkő</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sz w:val="16"/>
                <w:szCs w:val="16"/>
              </w:rPr>
              <w:t>Azon tömött, kristályos mészkő nyersanyag, amely gyakran pados, legalább 40%-ban, legalább 0,25 m</w:t>
            </w:r>
            <w:r>
              <w:rPr>
                <w:sz w:val="16"/>
                <w:szCs w:val="16"/>
                <w:vertAlign w:val="superscript"/>
              </w:rPr>
              <w:t>3</w:t>
            </w:r>
            <w:r>
              <w:rPr>
                <w:sz w:val="16"/>
                <w:szCs w:val="16"/>
              </w:rPr>
              <w:t xml:space="preserve"> méretű tovább feldolgozásra alkalmas tömbökben fejthető.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1531</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7100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4500 Vastagpados mészkő</w:t>
            </w:r>
          </w:p>
        </w:tc>
      </w:tr>
      <w:tr w:rsidR="00153F2F">
        <w:trPr>
          <w:cantSplit/>
          <w:trHeight w:val="153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54</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2. Minőségi kristályos mészkő</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sz w:val="16"/>
                <w:szCs w:val="16"/>
              </w:rPr>
              <w:t xml:space="preserve">Azon tömött, kristályos mészkő nyersanyag, amely fehér, sárgásfehér színű, kalcium-karbonát tartalma legalább 95%, magnézium-karbonát tartalma maximum 1%, különböző fémoxidok tartalma legfeljebb 1%, és oldási maradéka </w:t>
            </w:r>
            <w:proofErr w:type="spellStart"/>
            <w:r>
              <w:rPr>
                <w:sz w:val="16"/>
                <w:szCs w:val="16"/>
              </w:rPr>
              <w:t>max</w:t>
            </w:r>
            <w:proofErr w:type="spellEnd"/>
            <w:r>
              <w:rPr>
                <w:sz w:val="16"/>
                <w:szCs w:val="16"/>
              </w:rPr>
              <w:t xml:space="preserve">. 0,5%.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1532</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5500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102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55</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3. Kristályos mészkő</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sz w:val="16"/>
                <w:szCs w:val="16"/>
              </w:rPr>
              <w:t xml:space="preserve">Azon tömött, kristályos mészkő nyersanyag, amelynek kalcium-karbonát tartalma legalább 80%, magnézium-karbonát tartalma maximum 5%, és oldási maradéka maximum 15%.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1533</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1200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4500 Tömör mészkő</w:t>
            </w:r>
          </w:p>
        </w:tc>
      </w:tr>
      <w:tr w:rsidR="00153F2F">
        <w:trPr>
          <w:cantSplit/>
          <w:trHeight w:val="153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56</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4. Dolomit</w:t>
            </w:r>
          </w:p>
        </w:tc>
        <w:tc>
          <w:tcPr>
            <w:tcW w:w="3119"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Mésziszapból való tengeri lerakódású, vagy mészkőből </w:t>
            </w:r>
            <w:proofErr w:type="spellStart"/>
            <w:r>
              <w:rPr>
                <w:sz w:val="16"/>
                <w:szCs w:val="16"/>
              </w:rPr>
              <w:t>Ca-Mg</w:t>
            </w:r>
            <w:proofErr w:type="spellEnd"/>
            <w:r>
              <w:rPr>
                <w:sz w:val="16"/>
                <w:szCs w:val="16"/>
              </w:rPr>
              <w:t xml:space="preserve"> helyettesítéssel keletkezett üledékes kőzet. Magnézium-karbonát mennyisége 25–46%, kalcium-karbonát mennyisége 54–75%, mikrokristályos dolomit ásványból, alárendelten kalcitból álló, tömött szövetű kőzet, esetenként ősmaradványokkal, kőbelekkel. Gyakran darabos, néha pados elválású. </w:t>
            </w: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1. Minőségi dolomit</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Azon dolomit nyersanyag, amely darabos, néha pados elválású</w:t>
            </w:r>
            <w:proofErr w:type="gramStart"/>
            <w:r>
              <w:rPr>
                <w:sz w:val="16"/>
                <w:szCs w:val="16"/>
              </w:rPr>
              <w:t>,  sárgásfehér</w:t>
            </w:r>
            <w:proofErr w:type="gramEnd"/>
            <w:r>
              <w:rPr>
                <w:sz w:val="16"/>
                <w:szCs w:val="16"/>
              </w:rPr>
              <w:t xml:space="preserve"> színű, magnézium-karbonát tartalma 36-46%, kalcium-karbonát tartalma 52-60%, különböző fémoxidok tartalma legfeljebb 2%, és oldási maradéka </w:t>
            </w:r>
            <w:proofErr w:type="spellStart"/>
            <w:r>
              <w:rPr>
                <w:sz w:val="16"/>
                <w:szCs w:val="16"/>
              </w:rPr>
              <w:t>max</w:t>
            </w:r>
            <w:proofErr w:type="spellEnd"/>
            <w:r>
              <w:rPr>
                <w:sz w:val="16"/>
                <w:szCs w:val="16"/>
              </w:rPr>
              <w:t xml:space="preserve">. 3%.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1541</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2 200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4600 Minőségi dolomit</w:t>
            </w:r>
          </w:p>
        </w:tc>
      </w:tr>
      <w:tr w:rsidR="00153F2F">
        <w:trPr>
          <w:cantSplit/>
          <w:trHeight w:val="76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57</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2. Porlódó dolomit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Azon dolomit nyersanyag, amely természetes aprózódása és porlódása révén legalább </w:t>
            </w:r>
            <w:r>
              <w:rPr>
                <w:sz w:val="16"/>
                <w:szCs w:val="16"/>
              </w:rPr>
              <w:br/>
              <w:t xml:space="preserve">80%-ban 4mm-nél kisebb törmelékszemcsékből áll.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1542</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1400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4600 Porló dolomit</w:t>
            </w:r>
          </w:p>
        </w:tc>
      </w:tr>
      <w:tr w:rsidR="00153F2F">
        <w:trPr>
          <w:cantSplit/>
          <w:trHeight w:val="124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58</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3. Dolomit</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sz w:val="16"/>
                <w:szCs w:val="16"/>
              </w:rPr>
              <w:t xml:space="preserve">Azon dolomit nyersanyag, amely darabos, néha pados elválású, sárgás-fehér színű, magnézium-karbonát tartalma 25-46%, kalcium-karbonát tartalma 54-75%.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1543</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1600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4600 Dolomit</w:t>
            </w:r>
          </w:p>
        </w:tc>
      </w:tr>
      <w:tr w:rsidR="00153F2F">
        <w:trPr>
          <w:cantSplit/>
          <w:trHeight w:val="151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59</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5. Mangán-</w:t>
            </w:r>
            <w:r>
              <w:rPr>
                <w:b/>
                <w:bCs/>
                <w:sz w:val="16"/>
                <w:szCs w:val="16"/>
              </w:rPr>
              <w:br/>
              <w:t>karbonát</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Tengeri képződésű karbonátos kőzet, amelynek </w:t>
            </w:r>
            <w:proofErr w:type="spellStart"/>
            <w:r>
              <w:rPr>
                <w:sz w:val="16"/>
                <w:szCs w:val="16"/>
              </w:rPr>
              <w:t>mangánkarbonát</w:t>
            </w:r>
            <w:proofErr w:type="spellEnd"/>
            <w:r>
              <w:rPr>
                <w:sz w:val="16"/>
                <w:szCs w:val="16"/>
              </w:rPr>
              <w:t xml:space="preserve"> tartalma eléri vagy meghaladja a 60%-ot.  Fő ásványa a </w:t>
            </w:r>
            <w:proofErr w:type="spellStart"/>
            <w:r>
              <w:rPr>
                <w:sz w:val="16"/>
                <w:szCs w:val="16"/>
              </w:rPr>
              <w:t>rodokrozit</w:t>
            </w:r>
            <w:proofErr w:type="spellEnd"/>
            <w:r>
              <w:rPr>
                <w:sz w:val="16"/>
                <w:szCs w:val="16"/>
              </w:rPr>
              <w:t xml:space="preserve">. </w:t>
            </w:r>
            <w:proofErr w:type="spellStart"/>
            <w:r>
              <w:rPr>
                <w:sz w:val="16"/>
                <w:szCs w:val="16"/>
              </w:rPr>
              <w:t>Glaukonit-szeladonitból</w:t>
            </w:r>
            <w:proofErr w:type="spellEnd"/>
            <w:r>
              <w:rPr>
                <w:sz w:val="16"/>
                <w:szCs w:val="16"/>
              </w:rPr>
              <w:t xml:space="preserve"> álló sávok tagolják.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1550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46 000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8500 Karbonátos mangánérc</w:t>
            </w:r>
          </w:p>
        </w:tc>
      </w:tr>
      <w:tr w:rsidR="00153F2F">
        <w:trPr>
          <w:cantSplit/>
          <w:trHeight w:val="76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60</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6. Márga</w:t>
            </w:r>
          </w:p>
        </w:tc>
        <w:tc>
          <w:tcPr>
            <w:tcW w:w="3119"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Tengeri vagy tavi lerakódású, agyagásványokból és kalcit elegyéből álló, finomszemcsés kőzet. Ha az agyagásványok mennyisége jelentősebb, </w:t>
            </w:r>
            <w:r>
              <w:rPr>
                <w:sz w:val="16"/>
                <w:szCs w:val="16"/>
              </w:rPr>
              <w:br/>
              <w:t xml:space="preserve">a kőzet agyagmárga, ha a kalcité, mészmárga. </w:t>
            </w: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1. Leveles márga</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sz w:val="16"/>
                <w:szCs w:val="16"/>
              </w:rPr>
              <w:t xml:space="preserve">Azon márga nyersanyag, amely vastagpados, tömött, burkoló-, illetve </w:t>
            </w:r>
            <w:proofErr w:type="spellStart"/>
            <w:r>
              <w:rPr>
                <w:sz w:val="16"/>
                <w:szCs w:val="16"/>
              </w:rPr>
              <w:t>falazókő</w:t>
            </w:r>
            <w:proofErr w:type="spellEnd"/>
            <w:r>
              <w:rPr>
                <w:sz w:val="16"/>
                <w:szCs w:val="16"/>
              </w:rPr>
              <w:t xml:space="preserve"> gyártására alkalmas.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1561</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7 800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4700 Leveles márga</w:t>
            </w:r>
          </w:p>
        </w:tc>
      </w:tr>
      <w:tr w:rsidR="00153F2F">
        <w:trPr>
          <w:cantSplit/>
          <w:trHeight w:val="79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61</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2.  Mészmárga</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sz w:val="16"/>
                <w:szCs w:val="16"/>
              </w:rPr>
              <w:t>Azon márga nyersanyag, amely CaCO</w:t>
            </w:r>
            <w:r>
              <w:rPr>
                <w:sz w:val="16"/>
                <w:szCs w:val="16"/>
                <w:vertAlign w:val="subscript"/>
              </w:rPr>
              <w:t>3</w:t>
            </w:r>
            <w:r>
              <w:rPr>
                <w:sz w:val="16"/>
                <w:szCs w:val="16"/>
              </w:rPr>
              <w:t xml:space="preserve"> tartalma 60-80% illetve oldási maradéka </w:t>
            </w:r>
            <w:r>
              <w:rPr>
                <w:sz w:val="16"/>
                <w:szCs w:val="16"/>
              </w:rPr>
              <w:br/>
              <w:t xml:space="preserve">20-40%.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1562</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3 400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79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62</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3. Márga</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Azon márga nyersanyag, amely CaCO</w:t>
            </w:r>
            <w:r>
              <w:rPr>
                <w:sz w:val="16"/>
                <w:szCs w:val="16"/>
                <w:vertAlign w:val="subscript"/>
              </w:rPr>
              <w:t>3</w:t>
            </w:r>
            <w:r>
              <w:rPr>
                <w:sz w:val="16"/>
                <w:szCs w:val="16"/>
              </w:rPr>
              <w:t xml:space="preserve"> tartalma 40-60%, illetve oldási maradéka </w:t>
            </w:r>
            <w:r>
              <w:rPr>
                <w:sz w:val="16"/>
                <w:szCs w:val="16"/>
              </w:rPr>
              <w:br/>
              <w:t xml:space="preserve">40-60%.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1563</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2 400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4700 Márga</w:t>
            </w:r>
          </w:p>
        </w:tc>
      </w:tr>
      <w:tr w:rsidR="00153F2F">
        <w:trPr>
          <w:cantSplit/>
          <w:trHeight w:val="79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63</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4. Agyagmárga</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Azon márga nyersanyag, amely CaCO</w:t>
            </w:r>
            <w:r>
              <w:rPr>
                <w:sz w:val="16"/>
                <w:szCs w:val="16"/>
                <w:vertAlign w:val="subscript"/>
              </w:rPr>
              <w:t>3</w:t>
            </w:r>
            <w:r>
              <w:rPr>
                <w:sz w:val="16"/>
                <w:szCs w:val="16"/>
              </w:rPr>
              <w:t xml:space="preserve"> tartalma 20-60%, illetve oldási maradéka </w:t>
            </w:r>
            <w:r>
              <w:rPr>
                <w:sz w:val="16"/>
                <w:szCs w:val="16"/>
              </w:rPr>
              <w:br/>
              <w:t xml:space="preserve">40-60%.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1564</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102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64</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7. Kvarcit és kovaüledék</w:t>
            </w:r>
          </w:p>
        </w:tc>
        <w:tc>
          <w:tcPr>
            <w:tcW w:w="3119"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Nagy SiO</w:t>
            </w:r>
            <w:r>
              <w:rPr>
                <w:sz w:val="16"/>
                <w:szCs w:val="16"/>
                <w:vertAlign w:val="subscript"/>
              </w:rPr>
              <w:t>2</w:t>
            </w:r>
            <w:r>
              <w:rPr>
                <w:sz w:val="16"/>
                <w:szCs w:val="16"/>
              </w:rPr>
              <w:t xml:space="preserve"> tartalmú kőzet, mely lehet hidrotermális, metamorf vagy üledékes (vegyi illetve </w:t>
            </w:r>
            <w:proofErr w:type="spellStart"/>
            <w:r>
              <w:rPr>
                <w:sz w:val="16"/>
                <w:szCs w:val="16"/>
              </w:rPr>
              <w:t>biogén</w:t>
            </w:r>
            <w:proofErr w:type="spellEnd"/>
            <w:r>
              <w:rPr>
                <w:sz w:val="16"/>
                <w:szCs w:val="16"/>
              </w:rPr>
              <w:t xml:space="preserve">) keletkezésű. A nyersanyaggá való felhasználásuk azonossága miatt, ide soroljuk a hidrotermális, metamorf és üledékes keletkezésű kovákat is. </w:t>
            </w: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1. Kovaföld (</w:t>
            </w:r>
            <w:proofErr w:type="spellStart"/>
            <w:r>
              <w:rPr>
                <w:b/>
                <w:bCs/>
                <w:sz w:val="16"/>
                <w:szCs w:val="16"/>
              </w:rPr>
              <w:t>diatomit</w:t>
            </w:r>
            <w:proofErr w:type="spellEnd"/>
            <w:r>
              <w:rPr>
                <w:b/>
                <w:bCs/>
                <w:sz w:val="16"/>
                <w:szCs w:val="16"/>
              </w:rPr>
              <w:t xml:space="preserve">)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Tengeri vagy tavi lerakódású, </w:t>
            </w:r>
            <w:proofErr w:type="spellStart"/>
            <w:r>
              <w:rPr>
                <w:sz w:val="16"/>
                <w:szCs w:val="16"/>
              </w:rPr>
              <w:t>diatoma</w:t>
            </w:r>
            <w:proofErr w:type="spellEnd"/>
            <w:r>
              <w:rPr>
                <w:sz w:val="16"/>
                <w:szCs w:val="16"/>
              </w:rPr>
              <w:t xml:space="preserve"> algák kovavázainak felhalmozódásával keletkezett, finomszemcsés, kis térfogatsúlyú, mikroporózus kőzet.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1571</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6 900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5800 Kovaföld</w:t>
            </w:r>
          </w:p>
        </w:tc>
      </w:tr>
      <w:tr w:rsidR="00153F2F">
        <w:trPr>
          <w:cantSplit/>
          <w:trHeight w:val="178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65</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2. Kvarcit-</w:t>
            </w:r>
            <w:r>
              <w:rPr>
                <w:b/>
                <w:bCs/>
                <w:sz w:val="16"/>
                <w:szCs w:val="16"/>
              </w:rPr>
              <w:br/>
            </w:r>
            <w:proofErr w:type="spellStart"/>
            <w:r>
              <w:rPr>
                <w:b/>
                <w:bCs/>
                <w:sz w:val="16"/>
                <w:szCs w:val="16"/>
              </w:rPr>
              <w:t>hidrokvarcit</w:t>
            </w:r>
            <w:proofErr w:type="spellEnd"/>
            <w:r>
              <w:rPr>
                <w:b/>
                <w:bCs/>
                <w:sz w:val="16"/>
                <w:szCs w:val="16"/>
              </w:rPr>
              <w:t xml:space="preserve">, </w:t>
            </w:r>
            <w:r>
              <w:rPr>
                <w:b/>
                <w:bCs/>
                <w:sz w:val="16"/>
                <w:szCs w:val="16"/>
              </w:rPr>
              <w:br/>
            </w:r>
            <w:proofErr w:type="spellStart"/>
            <w:r>
              <w:rPr>
                <w:b/>
                <w:bCs/>
                <w:sz w:val="16"/>
                <w:szCs w:val="16"/>
              </w:rPr>
              <w:t>radiolarit</w:t>
            </w:r>
            <w:proofErr w:type="spellEnd"/>
          </w:p>
        </w:tc>
        <w:tc>
          <w:tcPr>
            <w:tcW w:w="2268" w:type="dxa"/>
            <w:tcBorders>
              <w:top w:val="nil"/>
              <w:left w:val="nil"/>
              <w:bottom w:val="single" w:sz="4" w:space="0" w:color="auto"/>
              <w:right w:val="single" w:sz="4" w:space="0" w:color="auto"/>
            </w:tcBorders>
            <w:shd w:val="clear" w:color="auto" w:fill="FFFFFF"/>
            <w:vAlign w:val="center"/>
          </w:tcPr>
          <w:p w:rsidR="00153F2F" w:rsidRDefault="00604D51">
            <w:pPr>
              <w:widowControl w:val="0"/>
              <w:spacing w:after="0"/>
              <w:ind w:firstLine="0"/>
              <w:jc w:val="left"/>
              <w:rPr>
                <w:sz w:val="16"/>
                <w:szCs w:val="16"/>
              </w:rPr>
            </w:pPr>
            <w:r>
              <w:rPr>
                <w:sz w:val="16"/>
                <w:szCs w:val="16"/>
              </w:rPr>
              <w:t xml:space="preserve"> Magas - legalább 80% - SiO</w:t>
            </w:r>
            <w:r>
              <w:rPr>
                <w:sz w:val="16"/>
                <w:szCs w:val="16"/>
                <w:vertAlign w:val="subscript"/>
              </w:rPr>
              <w:t>2</w:t>
            </w:r>
            <w:r>
              <w:rPr>
                <w:sz w:val="16"/>
                <w:szCs w:val="16"/>
              </w:rPr>
              <w:t xml:space="preserve"> tartalmú, tömeges megjelenésű kőzet. Ha a kicsapódás mocsári környezetben történt, </w:t>
            </w:r>
            <w:proofErr w:type="spellStart"/>
            <w:r>
              <w:rPr>
                <w:sz w:val="16"/>
                <w:szCs w:val="16"/>
              </w:rPr>
              <w:t>limnokvarcitnak</w:t>
            </w:r>
            <w:proofErr w:type="spellEnd"/>
            <w:r>
              <w:rPr>
                <w:sz w:val="16"/>
                <w:szCs w:val="16"/>
              </w:rPr>
              <w:t xml:space="preserve"> nevezzük, ekkor általában rétegzettséget mutat. </w:t>
            </w:r>
            <w:proofErr w:type="spellStart"/>
            <w:r>
              <w:rPr>
                <w:sz w:val="16"/>
                <w:szCs w:val="16"/>
              </w:rPr>
              <w:t>Radiolarit</w:t>
            </w:r>
            <w:proofErr w:type="spellEnd"/>
            <w:r>
              <w:rPr>
                <w:sz w:val="16"/>
                <w:szCs w:val="16"/>
              </w:rPr>
              <w:t xml:space="preserve"> tengeri szerves kovaállatok vázából képződött tömör kovakőzet. </w:t>
            </w:r>
          </w:p>
        </w:tc>
        <w:tc>
          <w:tcPr>
            <w:tcW w:w="709" w:type="dxa"/>
            <w:tcBorders>
              <w:top w:val="nil"/>
              <w:left w:val="nil"/>
              <w:bottom w:val="single" w:sz="4" w:space="0" w:color="auto"/>
              <w:right w:val="single" w:sz="4" w:space="0" w:color="auto"/>
            </w:tcBorders>
            <w:shd w:val="clear" w:color="auto" w:fill="FFFFFF"/>
            <w:vAlign w:val="center"/>
          </w:tcPr>
          <w:p w:rsidR="00153F2F" w:rsidRDefault="00604D51">
            <w:pPr>
              <w:widowControl w:val="0"/>
              <w:spacing w:after="0"/>
              <w:ind w:firstLine="0"/>
              <w:jc w:val="center"/>
              <w:rPr>
                <w:sz w:val="16"/>
                <w:szCs w:val="16"/>
              </w:rPr>
            </w:pPr>
            <w:r>
              <w:rPr>
                <w:sz w:val="16"/>
                <w:szCs w:val="16"/>
              </w:rPr>
              <w:t>1572</w:t>
            </w:r>
          </w:p>
        </w:tc>
        <w:tc>
          <w:tcPr>
            <w:tcW w:w="1701" w:type="dxa"/>
            <w:tcBorders>
              <w:top w:val="nil"/>
              <w:left w:val="nil"/>
              <w:bottom w:val="single" w:sz="4" w:space="0" w:color="auto"/>
              <w:right w:val="single" w:sz="4" w:space="0" w:color="auto"/>
            </w:tcBorders>
            <w:shd w:val="clear" w:color="auto" w:fill="FFFFFF"/>
            <w:vAlign w:val="center"/>
          </w:tcPr>
          <w:p w:rsidR="00153F2F" w:rsidRDefault="00604D51">
            <w:pPr>
              <w:widowControl w:val="0"/>
              <w:spacing w:after="0"/>
              <w:ind w:firstLine="0"/>
              <w:jc w:val="center"/>
              <w:rPr>
                <w:sz w:val="16"/>
                <w:szCs w:val="16"/>
              </w:rPr>
            </w:pPr>
            <w:r>
              <w:rPr>
                <w:sz w:val="16"/>
                <w:szCs w:val="16"/>
              </w:rPr>
              <w:t>5 400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shd w:val="clear" w:color="auto" w:fill="FFFFFF"/>
            <w:vAlign w:val="center"/>
          </w:tcPr>
          <w:p w:rsidR="00153F2F" w:rsidRDefault="00604D51">
            <w:pPr>
              <w:widowControl w:val="0"/>
              <w:spacing w:after="0"/>
              <w:ind w:firstLine="0"/>
              <w:jc w:val="left"/>
              <w:rPr>
                <w:sz w:val="16"/>
                <w:szCs w:val="16"/>
              </w:rPr>
            </w:pPr>
            <w:r>
              <w:rPr>
                <w:sz w:val="16"/>
                <w:szCs w:val="16"/>
              </w:rPr>
              <w:t>5800 Kvarcit</w:t>
            </w:r>
          </w:p>
        </w:tc>
      </w:tr>
      <w:tr w:rsidR="00153F2F">
        <w:trPr>
          <w:cantSplit/>
          <w:trHeight w:val="102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66</w:t>
            </w:r>
          </w:p>
        </w:tc>
        <w:tc>
          <w:tcPr>
            <w:tcW w:w="1701"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b/>
                <w:bCs/>
                <w:sz w:val="16"/>
                <w:szCs w:val="16"/>
              </w:rPr>
              <w:t>7. Szerves-anyag tartalmú kőzetek</w:t>
            </w:r>
            <w:r>
              <w:rPr>
                <w:sz w:val="16"/>
                <w:szCs w:val="16"/>
              </w:rPr>
              <w:t xml:space="preserve"> Összetételükben </w:t>
            </w:r>
            <w:r>
              <w:rPr>
                <w:sz w:val="16"/>
                <w:szCs w:val="16"/>
              </w:rPr>
              <w:br/>
              <w:t xml:space="preserve">a növényi eredetű anyag meghatározó. </w:t>
            </w:r>
          </w:p>
        </w:tc>
        <w:tc>
          <w:tcPr>
            <w:tcW w:w="1276"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1. Tőzeg, lápföld, </w:t>
            </w:r>
            <w:proofErr w:type="spellStart"/>
            <w:r>
              <w:rPr>
                <w:b/>
                <w:bCs/>
                <w:sz w:val="16"/>
                <w:szCs w:val="16"/>
              </w:rPr>
              <w:t>lápimész</w:t>
            </w:r>
            <w:proofErr w:type="spellEnd"/>
          </w:p>
        </w:tc>
        <w:tc>
          <w:tcPr>
            <w:tcW w:w="3119"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 tőzeg, lápos területeken, edényes növények oxigénszegény körülmények közötti bomlással felhalmozódásával és konzerválódásával keletkező, magas szervesanyag-tartalmú </w:t>
            </w:r>
            <w:proofErr w:type="gramStart"/>
            <w:r>
              <w:rPr>
                <w:sz w:val="16"/>
                <w:szCs w:val="16"/>
              </w:rPr>
              <w:t>kőzet</w:t>
            </w:r>
            <w:proofErr w:type="gramEnd"/>
            <w:r>
              <w:rPr>
                <w:sz w:val="16"/>
                <w:szCs w:val="16"/>
              </w:rPr>
              <w:t xml:space="preserve"> amelyben még jól láthatók a növényi részek.  </w:t>
            </w:r>
            <w:r>
              <w:rPr>
                <w:sz w:val="16"/>
                <w:szCs w:val="16"/>
              </w:rPr>
              <w:br/>
              <w:t xml:space="preserve">A nyersanyag teleptani és fizikai jellegéből adódóan </w:t>
            </w:r>
            <w:proofErr w:type="spellStart"/>
            <w:r>
              <w:rPr>
                <w:sz w:val="16"/>
                <w:szCs w:val="16"/>
              </w:rPr>
              <w:t>max</w:t>
            </w:r>
            <w:proofErr w:type="spellEnd"/>
            <w:r>
              <w:rPr>
                <w:sz w:val="16"/>
                <w:szCs w:val="16"/>
              </w:rPr>
              <w:t xml:space="preserve">. 40% vizet tartalmaz. Az érett tőzegben a növényi maradványok szabad szemmel csak elvétve ismerhetők fel. Nedvesen kenődő, kiszáradva rögösen esik szét. A rostos tőzeg 50 súly %-át 20 mm-nél hosszabb növényi rostok alkotják. A vegyes tőzeg a rostos és az érett tőzeg keveréke.  A lápföld iszappal keveredett tőzeg. Ha az iszap mésztartalmú, </w:t>
            </w:r>
            <w:proofErr w:type="spellStart"/>
            <w:r>
              <w:rPr>
                <w:sz w:val="16"/>
                <w:szCs w:val="16"/>
              </w:rPr>
              <w:t>lápimésznek</w:t>
            </w:r>
            <w:proofErr w:type="spellEnd"/>
            <w:r>
              <w:rPr>
                <w:sz w:val="16"/>
                <w:szCs w:val="16"/>
              </w:rPr>
              <w:t xml:space="preserve"> nevezzük. </w:t>
            </w: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1. Tőzeg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Azon tőzeg nyersanyag, amelynek az abszolút száraz anyagra számított </w:t>
            </w:r>
            <w:proofErr w:type="spellStart"/>
            <w:r>
              <w:rPr>
                <w:sz w:val="16"/>
                <w:szCs w:val="16"/>
              </w:rPr>
              <w:t>szervesanyag</w:t>
            </w:r>
            <w:proofErr w:type="spellEnd"/>
            <w:r>
              <w:rPr>
                <w:sz w:val="16"/>
                <w:szCs w:val="16"/>
              </w:rPr>
              <w:t xml:space="preserve"> tartalma 14 súly %-nál nagyobb.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1611</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1500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1300 Tőzeg – lápföld-láp</w:t>
            </w:r>
          </w:p>
        </w:tc>
      </w:tr>
      <w:tr w:rsidR="00153F2F">
        <w:trPr>
          <w:cantSplit/>
          <w:trHeight w:val="31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67</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2. Lápföld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Legalább 30 % iszap tartalmú tőzeg.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1612</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60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68</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3. </w:t>
            </w:r>
            <w:proofErr w:type="spellStart"/>
            <w:r>
              <w:rPr>
                <w:b/>
                <w:bCs/>
                <w:sz w:val="16"/>
                <w:szCs w:val="16"/>
              </w:rPr>
              <w:t>Lápimész</w:t>
            </w:r>
            <w:proofErr w:type="spellEnd"/>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Meszes lápföld.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1613</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800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177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69</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2. </w:t>
            </w:r>
            <w:proofErr w:type="spellStart"/>
            <w:r>
              <w:rPr>
                <w:b/>
                <w:bCs/>
                <w:sz w:val="16"/>
                <w:szCs w:val="16"/>
              </w:rPr>
              <w:t>Alginit</w:t>
            </w:r>
            <w:proofErr w:type="spellEnd"/>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Vulkáni krátertavakban keletkezett, </w:t>
            </w:r>
            <w:proofErr w:type="spellStart"/>
            <w:r>
              <w:rPr>
                <w:sz w:val="16"/>
                <w:szCs w:val="16"/>
              </w:rPr>
              <w:t>szervesvázú</w:t>
            </w:r>
            <w:proofErr w:type="spellEnd"/>
            <w:r>
              <w:rPr>
                <w:sz w:val="16"/>
                <w:szCs w:val="16"/>
              </w:rPr>
              <w:t xml:space="preserve"> fosszilis algából és magasabb rendű növényi pollenből erősen bentonitosodott, mállott bazalttufából és meszes anyagból álló, magas szerves anyag tartalmú kőzet.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1620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3400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7100 </w:t>
            </w:r>
            <w:proofErr w:type="spellStart"/>
            <w:r>
              <w:rPr>
                <w:sz w:val="16"/>
                <w:szCs w:val="16"/>
              </w:rPr>
              <w:t>Alginit</w:t>
            </w:r>
            <w:proofErr w:type="spellEnd"/>
          </w:p>
        </w:tc>
      </w:tr>
      <w:tr w:rsidR="00153F2F">
        <w:trPr>
          <w:cantSplit/>
          <w:trHeight w:val="183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70</w:t>
            </w:r>
          </w:p>
        </w:tc>
        <w:tc>
          <w:tcPr>
            <w:tcW w:w="1701"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b/>
                <w:bCs/>
                <w:sz w:val="16"/>
                <w:szCs w:val="16"/>
              </w:rPr>
              <w:t>8. Metamorf kőzetek</w:t>
            </w:r>
            <w:r>
              <w:rPr>
                <w:sz w:val="16"/>
                <w:szCs w:val="16"/>
              </w:rPr>
              <w:t xml:space="preserve"> Nyomás és hő hatására átalakult kőzetek. </w:t>
            </w: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1. Szerpentinit </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Bázisos magmás kőzetek kisfokú metamorfózisával keletkező metamorf kőzet. Kőzetalkotó ásvány: szerpentin (</w:t>
            </w:r>
            <w:proofErr w:type="spellStart"/>
            <w:r>
              <w:rPr>
                <w:sz w:val="16"/>
                <w:szCs w:val="16"/>
              </w:rPr>
              <w:t>lizardit</w:t>
            </w:r>
            <w:proofErr w:type="spellEnd"/>
            <w:r>
              <w:rPr>
                <w:sz w:val="16"/>
                <w:szCs w:val="16"/>
              </w:rPr>
              <w:t xml:space="preserve">, </w:t>
            </w:r>
            <w:proofErr w:type="spellStart"/>
            <w:r>
              <w:rPr>
                <w:sz w:val="16"/>
                <w:szCs w:val="16"/>
              </w:rPr>
              <w:t>krizotil</w:t>
            </w:r>
            <w:proofErr w:type="spellEnd"/>
            <w:r>
              <w:rPr>
                <w:sz w:val="16"/>
                <w:szCs w:val="16"/>
              </w:rPr>
              <w:t xml:space="preserve">, </w:t>
            </w:r>
            <w:proofErr w:type="spellStart"/>
            <w:r>
              <w:rPr>
                <w:sz w:val="16"/>
                <w:szCs w:val="16"/>
              </w:rPr>
              <w:t>antigorit</w:t>
            </w:r>
            <w:proofErr w:type="spellEnd"/>
            <w:r>
              <w:rPr>
                <w:sz w:val="16"/>
                <w:szCs w:val="16"/>
              </w:rPr>
              <w:t xml:space="preserve">) mellett kevesebb </w:t>
            </w:r>
            <w:proofErr w:type="spellStart"/>
            <w:r>
              <w:rPr>
                <w:sz w:val="16"/>
                <w:szCs w:val="16"/>
              </w:rPr>
              <w:t>klorit</w:t>
            </w:r>
            <w:proofErr w:type="spellEnd"/>
            <w:r>
              <w:rPr>
                <w:sz w:val="16"/>
                <w:szCs w:val="16"/>
              </w:rPr>
              <w:t xml:space="preserve">. Előfordulnak karbonátok, </w:t>
            </w:r>
            <w:proofErr w:type="spellStart"/>
            <w:r>
              <w:rPr>
                <w:sz w:val="16"/>
                <w:szCs w:val="16"/>
              </w:rPr>
              <w:t>talk</w:t>
            </w:r>
            <w:proofErr w:type="spellEnd"/>
            <w:r>
              <w:rPr>
                <w:sz w:val="16"/>
                <w:szCs w:val="16"/>
              </w:rPr>
              <w:t xml:space="preserve"> és ércásványok. </w:t>
            </w:r>
            <w:proofErr w:type="spellStart"/>
            <w:r>
              <w:rPr>
                <w:sz w:val="16"/>
                <w:szCs w:val="16"/>
              </w:rPr>
              <w:t>Foliáció</w:t>
            </w:r>
            <w:proofErr w:type="spellEnd"/>
            <w:r>
              <w:rPr>
                <w:sz w:val="16"/>
                <w:szCs w:val="16"/>
              </w:rPr>
              <w:t xml:space="preserve"> nem jellemző.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1710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5 400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154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71</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2. </w:t>
            </w:r>
            <w:proofErr w:type="spellStart"/>
            <w:r>
              <w:rPr>
                <w:b/>
                <w:bCs/>
                <w:sz w:val="16"/>
                <w:szCs w:val="16"/>
              </w:rPr>
              <w:t>Talkpala</w:t>
            </w:r>
            <w:proofErr w:type="spellEnd"/>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w:t>
            </w:r>
            <w:proofErr w:type="spellStart"/>
            <w:r>
              <w:rPr>
                <w:sz w:val="16"/>
                <w:szCs w:val="16"/>
              </w:rPr>
              <w:t>talk</w:t>
            </w:r>
            <w:proofErr w:type="spellEnd"/>
            <w:r>
              <w:rPr>
                <w:sz w:val="16"/>
                <w:szCs w:val="16"/>
              </w:rPr>
              <w:t xml:space="preserve"> /</w:t>
            </w:r>
            <w:proofErr w:type="gramStart"/>
            <w:r>
              <w:rPr>
                <w:sz w:val="16"/>
                <w:szCs w:val="16"/>
              </w:rPr>
              <w:t>Mg</w:t>
            </w:r>
            <w:r>
              <w:rPr>
                <w:sz w:val="16"/>
                <w:szCs w:val="16"/>
                <w:vertAlign w:val="subscript"/>
              </w:rPr>
              <w:t>3</w:t>
            </w:r>
            <w:r>
              <w:rPr>
                <w:sz w:val="16"/>
                <w:szCs w:val="16"/>
              </w:rPr>
              <w:t>(</w:t>
            </w:r>
            <w:proofErr w:type="gramEnd"/>
            <w:r>
              <w:rPr>
                <w:sz w:val="16"/>
                <w:szCs w:val="16"/>
              </w:rPr>
              <w:t>Si</w:t>
            </w:r>
            <w:r>
              <w:rPr>
                <w:sz w:val="16"/>
                <w:szCs w:val="16"/>
                <w:vertAlign w:val="subscript"/>
              </w:rPr>
              <w:t>4</w:t>
            </w:r>
            <w:r>
              <w:rPr>
                <w:sz w:val="16"/>
                <w:szCs w:val="16"/>
              </w:rPr>
              <w:t>O</w:t>
            </w:r>
            <w:r>
              <w:rPr>
                <w:sz w:val="16"/>
                <w:szCs w:val="16"/>
                <w:vertAlign w:val="subscript"/>
              </w:rPr>
              <w:t>10</w:t>
            </w:r>
            <w:r>
              <w:rPr>
                <w:sz w:val="16"/>
                <w:szCs w:val="16"/>
              </w:rPr>
              <w:t>(OH)</w:t>
            </w:r>
            <w:r>
              <w:rPr>
                <w:sz w:val="16"/>
                <w:szCs w:val="16"/>
                <w:vertAlign w:val="subscript"/>
              </w:rPr>
              <w:t>2</w:t>
            </w:r>
            <w:r>
              <w:rPr>
                <w:sz w:val="16"/>
                <w:szCs w:val="16"/>
              </w:rPr>
              <w:t xml:space="preserve">/  ásvány tartalmú nyersanyag, amelynek a </w:t>
            </w:r>
            <w:proofErr w:type="spellStart"/>
            <w:r>
              <w:rPr>
                <w:sz w:val="16"/>
                <w:szCs w:val="16"/>
              </w:rPr>
              <w:t>talk</w:t>
            </w:r>
            <w:proofErr w:type="spellEnd"/>
            <w:r>
              <w:rPr>
                <w:sz w:val="16"/>
                <w:szCs w:val="16"/>
              </w:rPr>
              <w:t xml:space="preserve"> tartalma eléri vagy meghaladja a 60%-ot. Képződésére nézve: kontakt, tektonikus metamorfit.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1720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12000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124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72</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3. Agyagpala</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sz w:val="16"/>
                <w:szCs w:val="16"/>
              </w:rPr>
              <w:t xml:space="preserve">Agyag igen kisfokú metamorfózisával keletkező metamorf kőzet. Kőzetalkotó ásvány: </w:t>
            </w:r>
            <w:proofErr w:type="spellStart"/>
            <w:r>
              <w:rPr>
                <w:sz w:val="16"/>
                <w:szCs w:val="16"/>
              </w:rPr>
              <w:t>illit</w:t>
            </w:r>
            <w:proofErr w:type="spellEnd"/>
            <w:r>
              <w:rPr>
                <w:sz w:val="16"/>
                <w:szCs w:val="16"/>
              </w:rPr>
              <w:t xml:space="preserve">. </w:t>
            </w:r>
            <w:proofErr w:type="spellStart"/>
            <w:r>
              <w:rPr>
                <w:sz w:val="16"/>
                <w:szCs w:val="16"/>
              </w:rPr>
              <w:t>Foliáció</w:t>
            </w:r>
            <w:proofErr w:type="spellEnd"/>
            <w:r>
              <w:rPr>
                <w:sz w:val="16"/>
                <w:szCs w:val="16"/>
              </w:rPr>
              <w:t xml:space="preserve"> jellemző, finomszemcsés, vékonylemezes-leveles, palás.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1730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10000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189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73</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4. </w:t>
            </w:r>
            <w:proofErr w:type="spellStart"/>
            <w:r>
              <w:rPr>
                <w:b/>
                <w:bCs/>
                <w:sz w:val="16"/>
                <w:szCs w:val="16"/>
              </w:rPr>
              <w:t>Fillit</w:t>
            </w:r>
            <w:proofErr w:type="spellEnd"/>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Finom-közepes szemcsés, csillogó, az irányított </w:t>
            </w:r>
            <w:proofErr w:type="spellStart"/>
            <w:r>
              <w:rPr>
                <w:sz w:val="16"/>
                <w:szCs w:val="16"/>
              </w:rPr>
              <w:t>filloszilikátok</w:t>
            </w:r>
            <w:proofErr w:type="spellEnd"/>
            <w:r>
              <w:rPr>
                <w:sz w:val="16"/>
                <w:szCs w:val="16"/>
              </w:rPr>
              <w:t xml:space="preserve"> párhuzamos rendezettségéből adódó, jól meghatározott palásságot mutató kisfokú metamorf kőzet. Kőzetalkotó ásványok: kvarc, </w:t>
            </w:r>
            <w:proofErr w:type="spellStart"/>
            <w:r>
              <w:rPr>
                <w:sz w:val="16"/>
                <w:szCs w:val="16"/>
              </w:rPr>
              <w:t>muszkovit</w:t>
            </w:r>
            <w:proofErr w:type="spellEnd"/>
            <w:r>
              <w:rPr>
                <w:sz w:val="16"/>
                <w:szCs w:val="16"/>
              </w:rPr>
              <w:t xml:space="preserve"> (</w:t>
            </w:r>
            <w:proofErr w:type="spellStart"/>
            <w:r>
              <w:rPr>
                <w:sz w:val="16"/>
                <w:szCs w:val="16"/>
              </w:rPr>
              <w:t>szericit</w:t>
            </w:r>
            <w:proofErr w:type="spellEnd"/>
            <w:r>
              <w:rPr>
                <w:sz w:val="16"/>
                <w:szCs w:val="16"/>
              </w:rPr>
              <w:t xml:space="preserve">), </w:t>
            </w:r>
            <w:proofErr w:type="spellStart"/>
            <w:r>
              <w:rPr>
                <w:sz w:val="16"/>
                <w:szCs w:val="16"/>
              </w:rPr>
              <w:t>klorit</w:t>
            </w:r>
            <w:proofErr w:type="spellEnd"/>
            <w:r>
              <w:rPr>
                <w:sz w:val="16"/>
                <w:szCs w:val="16"/>
              </w:rPr>
              <w:t xml:space="preserve">, </w:t>
            </w:r>
            <w:proofErr w:type="spellStart"/>
            <w:r>
              <w:rPr>
                <w:sz w:val="16"/>
                <w:szCs w:val="16"/>
              </w:rPr>
              <w:t>albit</w:t>
            </w:r>
            <w:proofErr w:type="spellEnd"/>
            <w:r>
              <w:rPr>
                <w:sz w:val="16"/>
                <w:szCs w:val="16"/>
              </w:rPr>
              <w:t xml:space="preserve">.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1740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12000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76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74</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5. Zöldpala</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Zöld színű palás kőzet, melynek színét </w:t>
            </w:r>
            <w:proofErr w:type="spellStart"/>
            <w:r>
              <w:rPr>
                <w:sz w:val="16"/>
                <w:szCs w:val="16"/>
              </w:rPr>
              <w:t>aktinolit</w:t>
            </w:r>
            <w:proofErr w:type="spellEnd"/>
            <w:r>
              <w:rPr>
                <w:sz w:val="16"/>
                <w:szCs w:val="16"/>
              </w:rPr>
              <w:t xml:space="preserve">, </w:t>
            </w:r>
            <w:proofErr w:type="spellStart"/>
            <w:r>
              <w:rPr>
                <w:sz w:val="16"/>
                <w:szCs w:val="16"/>
              </w:rPr>
              <w:t>klorit</w:t>
            </w:r>
            <w:proofErr w:type="spellEnd"/>
            <w:r>
              <w:rPr>
                <w:sz w:val="16"/>
                <w:szCs w:val="16"/>
              </w:rPr>
              <w:t xml:space="preserve">, </w:t>
            </w:r>
            <w:proofErr w:type="spellStart"/>
            <w:r>
              <w:rPr>
                <w:sz w:val="16"/>
                <w:szCs w:val="16"/>
              </w:rPr>
              <w:t>epidot</w:t>
            </w:r>
            <w:proofErr w:type="spellEnd"/>
            <w:r>
              <w:rPr>
                <w:sz w:val="16"/>
                <w:szCs w:val="16"/>
              </w:rPr>
              <w:t xml:space="preserve"> adja. Jellegzetes ásványai még az </w:t>
            </w:r>
            <w:proofErr w:type="spellStart"/>
            <w:r>
              <w:rPr>
                <w:sz w:val="16"/>
                <w:szCs w:val="16"/>
              </w:rPr>
              <w:t>albit</w:t>
            </w:r>
            <w:proofErr w:type="spellEnd"/>
            <w:r>
              <w:rPr>
                <w:sz w:val="16"/>
                <w:szCs w:val="16"/>
              </w:rPr>
              <w:t xml:space="preserve">, </w:t>
            </w:r>
            <w:proofErr w:type="spellStart"/>
            <w:r>
              <w:rPr>
                <w:sz w:val="16"/>
                <w:szCs w:val="16"/>
              </w:rPr>
              <w:t>zoizit</w:t>
            </w:r>
            <w:proofErr w:type="spellEnd"/>
            <w:r>
              <w:rPr>
                <w:sz w:val="16"/>
                <w:szCs w:val="16"/>
              </w:rPr>
              <w:t xml:space="preserve">, esetleg kvarc.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1750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5500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6000 Zöldpala</w:t>
            </w:r>
          </w:p>
        </w:tc>
      </w:tr>
      <w:tr w:rsidR="00153F2F">
        <w:trPr>
          <w:cantSplit/>
          <w:trHeight w:val="166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75</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6. Csillámpala </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Agyag közepes fokú metamorfózisával keletkező metamorf kőzet. Kőzetalkotó ásvány: csillám, kvarc, </w:t>
            </w:r>
            <w:proofErr w:type="spellStart"/>
            <w:r>
              <w:rPr>
                <w:sz w:val="16"/>
                <w:szCs w:val="16"/>
              </w:rPr>
              <w:t>plagioklász</w:t>
            </w:r>
            <w:proofErr w:type="spellEnd"/>
            <w:r>
              <w:rPr>
                <w:sz w:val="16"/>
                <w:szCs w:val="16"/>
              </w:rPr>
              <w:t xml:space="preserve">, </w:t>
            </w:r>
            <w:proofErr w:type="spellStart"/>
            <w:r>
              <w:rPr>
                <w:sz w:val="16"/>
                <w:szCs w:val="16"/>
              </w:rPr>
              <w:t>andaluzit</w:t>
            </w:r>
            <w:proofErr w:type="spellEnd"/>
            <w:r>
              <w:rPr>
                <w:sz w:val="16"/>
                <w:szCs w:val="16"/>
              </w:rPr>
              <w:t xml:space="preserve">, gránát. </w:t>
            </w:r>
            <w:proofErr w:type="spellStart"/>
            <w:r>
              <w:rPr>
                <w:sz w:val="16"/>
                <w:szCs w:val="16"/>
              </w:rPr>
              <w:t>Foliáció</w:t>
            </w:r>
            <w:proofErr w:type="spellEnd"/>
            <w:r>
              <w:rPr>
                <w:sz w:val="16"/>
                <w:szCs w:val="16"/>
              </w:rPr>
              <w:t xml:space="preserve"> jellemző, csillámos fényű, durvaszemcsés, durvapalás.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1760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8000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157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76</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7. Gneisz  </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Magmás vagy üledékes kőzetek nagyfokú metamorfózisával keletkező metamorf kőzet.  Kőzetalkotó ásvány: kvarc, </w:t>
            </w:r>
            <w:proofErr w:type="spellStart"/>
            <w:r>
              <w:rPr>
                <w:sz w:val="16"/>
                <w:szCs w:val="16"/>
              </w:rPr>
              <w:t>plagioklász</w:t>
            </w:r>
            <w:proofErr w:type="spellEnd"/>
            <w:r>
              <w:rPr>
                <w:sz w:val="16"/>
                <w:szCs w:val="16"/>
              </w:rPr>
              <w:t xml:space="preserve">, csillám, </w:t>
            </w:r>
            <w:proofErr w:type="spellStart"/>
            <w:r>
              <w:rPr>
                <w:sz w:val="16"/>
                <w:szCs w:val="16"/>
              </w:rPr>
              <w:t>sillimanit</w:t>
            </w:r>
            <w:proofErr w:type="spellEnd"/>
            <w:r>
              <w:rPr>
                <w:sz w:val="16"/>
                <w:szCs w:val="16"/>
              </w:rPr>
              <w:t xml:space="preserve">, </w:t>
            </w:r>
            <w:proofErr w:type="spellStart"/>
            <w:r>
              <w:rPr>
                <w:sz w:val="16"/>
                <w:szCs w:val="16"/>
              </w:rPr>
              <w:t>káliföldpát</w:t>
            </w:r>
            <w:proofErr w:type="spellEnd"/>
            <w:r>
              <w:rPr>
                <w:sz w:val="16"/>
                <w:szCs w:val="16"/>
              </w:rPr>
              <w:t xml:space="preserve">, gránát. </w:t>
            </w:r>
            <w:proofErr w:type="spellStart"/>
            <w:r>
              <w:rPr>
                <w:sz w:val="16"/>
                <w:szCs w:val="16"/>
              </w:rPr>
              <w:t>Foliáció</w:t>
            </w:r>
            <w:proofErr w:type="spellEnd"/>
            <w:r>
              <w:rPr>
                <w:sz w:val="16"/>
                <w:szCs w:val="16"/>
              </w:rPr>
              <w:t xml:space="preserve"> nem mindig jellemző, durvaszemcsés.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1770</w:t>
            </w:r>
          </w:p>
        </w:tc>
        <w:tc>
          <w:tcPr>
            <w:tcW w:w="1701" w:type="dxa"/>
            <w:tcBorders>
              <w:top w:val="nil"/>
              <w:left w:val="nil"/>
              <w:bottom w:val="nil"/>
              <w:right w:val="single" w:sz="4" w:space="0" w:color="auto"/>
            </w:tcBorders>
            <w:vAlign w:val="center"/>
          </w:tcPr>
          <w:p w:rsidR="00153F2F" w:rsidRDefault="00604D51">
            <w:pPr>
              <w:widowControl w:val="0"/>
              <w:spacing w:after="0"/>
              <w:ind w:firstLine="0"/>
              <w:jc w:val="center"/>
              <w:rPr>
                <w:sz w:val="16"/>
                <w:szCs w:val="16"/>
              </w:rPr>
            </w:pPr>
            <w:r>
              <w:rPr>
                <w:sz w:val="16"/>
                <w:szCs w:val="16"/>
              </w:rPr>
              <w:t>850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6200 Gneisz</w:t>
            </w:r>
          </w:p>
        </w:tc>
      </w:tr>
      <w:tr w:rsidR="00153F2F">
        <w:trPr>
          <w:cantSplit/>
          <w:trHeight w:val="368"/>
        </w:trPr>
        <w:tc>
          <w:tcPr>
            <w:tcW w:w="638" w:type="dxa"/>
            <w:vMerge w:val="restart"/>
            <w:tcBorders>
              <w:top w:val="nil"/>
              <w:left w:val="single" w:sz="4" w:space="0" w:color="auto"/>
              <w:bottom w:val="nil"/>
              <w:right w:val="single" w:sz="4" w:space="0" w:color="auto"/>
            </w:tcBorders>
            <w:vAlign w:val="center"/>
          </w:tcPr>
          <w:p w:rsidR="00153F2F" w:rsidRDefault="00604D51">
            <w:pPr>
              <w:widowControl w:val="0"/>
              <w:spacing w:after="0"/>
              <w:ind w:firstLine="0"/>
              <w:jc w:val="center"/>
              <w:rPr>
                <w:sz w:val="16"/>
                <w:szCs w:val="16"/>
              </w:rPr>
            </w:pPr>
            <w:r>
              <w:rPr>
                <w:sz w:val="16"/>
                <w:szCs w:val="16"/>
              </w:rPr>
              <w:t>77</w:t>
            </w:r>
          </w:p>
        </w:tc>
        <w:tc>
          <w:tcPr>
            <w:tcW w:w="1701"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9. Ércek </w:t>
            </w:r>
          </w:p>
          <w:p w:rsidR="00153F2F" w:rsidRDefault="00604D51">
            <w:pPr>
              <w:widowControl w:val="0"/>
              <w:spacing w:after="0"/>
              <w:ind w:firstLine="0"/>
              <w:jc w:val="left"/>
              <w:rPr>
                <w:sz w:val="16"/>
                <w:szCs w:val="16"/>
              </w:rPr>
            </w:pPr>
            <w:r>
              <w:rPr>
                <w:sz w:val="16"/>
                <w:szCs w:val="16"/>
              </w:rPr>
              <w:t xml:space="preserve">A földkéregben feldúsult olyan ásványtársulások, amelyekből - egy fizikai dúsítást követően - valamilyen kémiai, kohászati eljárással illetve </w:t>
            </w:r>
            <w:proofErr w:type="spellStart"/>
            <w:proofErr w:type="gramStart"/>
            <w:r>
              <w:rPr>
                <w:sz w:val="16"/>
                <w:szCs w:val="16"/>
              </w:rPr>
              <w:t>perkolációval</w:t>
            </w:r>
            <w:proofErr w:type="spellEnd"/>
            <w:r>
              <w:rPr>
                <w:sz w:val="16"/>
                <w:szCs w:val="16"/>
              </w:rPr>
              <w:t xml:space="preserve">  fém</w:t>
            </w:r>
            <w:proofErr w:type="gramEnd"/>
            <w:r>
              <w:rPr>
                <w:sz w:val="16"/>
                <w:szCs w:val="16"/>
              </w:rPr>
              <w:t xml:space="preserve">, fémek vagy fémtartalmú vegyületek állíthatók elő. Az adott ércből - genetikájából és így összetételéből adódóan - elsődlegesen bizonyos </w:t>
            </w:r>
            <w:proofErr w:type="gramStart"/>
            <w:r>
              <w:rPr>
                <w:sz w:val="16"/>
                <w:szCs w:val="16"/>
              </w:rPr>
              <w:t>fém(</w:t>
            </w:r>
            <w:proofErr w:type="spellStart"/>
            <w:proofErr w:type="gramEnd"/>
            <w:r>
              <w:rPr>
                <w:sz w:val="16"/>
                <w:szCs w:val="16"/>
              </w:rPr>
              <w:t>ek</w:t>
            </w:r>
            <w:proofErr w:type="spellEnd"/>
            <w:r>
              <w:rPr>
                <w:sz w:val="16"/>
                <w:szCs w:val="16"/>
              </w:rPr>
              <w:t xml:space="preserve">) állítható(k) elő,  </w:t>
            </w:r>
            <w:r>
              <w:rPr>
                <w:sz w:val="16"/>
                <w:szCs w:val="16"/>
              </w:rPr>
              <w:br/>
              <w:t>de az adott fém(</w:t>
            </w:r>
            <w:proofErr w:type="spellStart"/>
            <w:r>
              <w:rPr>
                <w:sz w:val="16"/>
                <w:szCs w:val="16"/>
              </w:rPr>
              <w:t>ek</w:t>
            </w:r>
            <w:proofErr w:type="spellEnd"/>
            <w:r>
              <w:rPr>
                <w:sz w:val="16"/>
                <w:szCs w:val="16"/>
              </w:rPr>
              <w:t xml:space="preserve">) kinyerésével </w:t>
            </w:r>
            <w:proofErr w:type="spellStart"/>
            <w:r>
              <w:rPr>
                <w:sz w:val="16"/>
                <w:szCs w:val="16"/>
              </w:rPr>
              <w:t>egyidőben</w:t>
            </w:r>
            <w:proofErr w:type="spellEnd"/>
            <w:r>
              <w:rPr>
                <w:sz w:val="16"/>
                <w:szCs w:val="16"/>
              </w:rPr>
              <w:t xml:space="preserve"> lehetőség válhat további fémek kinyerésére. </w:t>
            </w:r>
          </w:p>
        </w:tc>
        <w:tc>
          <w:tcPr>
            <w:tcW w:w="1276"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1. Mangánérc</w:t>
            </w:r>
          </w:p>
        </w:tc>
        <w:tc>
          <w:tcPr>
            <w:tcW w:w="3119"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sz w:val="16"/>
                <w:szCs w:val="16"/>
              </w:rPr>
              <w:t xml:space="preserve">Olyan érc, </w:t>
            </w:r>
            <w:proofErr w:type="gramStart"/>
            <w:r>
              <w:rPr>
                <w:sz w:val="16"/>
                <w:szCs w:val="16"/>
              </w:rPr>
              <w:t>amelyben  a</w:t>
            </w:r>
            <w:proofErr w:type="gramEnd"/>
            <w:r>
              <w:rPr>
                <w:sz w:val="16"/>
                <w:szCs w:val="16"/>
              </w:rPr>
              <w:t xml:space="preserve"> mangán és kísérő elemeinek  ásványai dúsulnak fel. Az ércből valamilyen kémiai, kohászati eljárással elsősorban mangán, de a mangán kinyerésével </w:t>
            </w:r>
            <w:proofErr w:type="spellStart"/>
            <w:r>
              <w:rPr>
                <w:sz w:val="16"/>
                <w:szCs w:val="16"/>
              </w:rPr>
              <w:t>egyidőben</w:t>
            </w:r>
            <w:proofErr w:type="spellEnd"/>
            <w:r>
              <w:rPr>
                <w:sz w:val="16"/>
                <w:szCs w:val="16"/>
              </w:rPr>
              <w:t xml:space="preserve"> további fémek előállítására is lehetőség nyílik. </w:t>
            </w:r>
          </w:p>
        </w:tc>
        <w:tc>
          <w:tcPr>
            <w:tcW w:w="1417" w:type="dxa"/>
            <w:vMerge w:val="restart"/>
            <w:tcBorders>
              <w:top w:val="nil"/>
              <w:left w:val="nil"/>
              <w:bottom w:val="nil"/>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1. Oxidos, dúsítható mangánérc </w:t>
            </w:r>
          </w:p>
        </w:tc>
        <w:tc>
          <w:tcPr>
            <w:tcW w:w="2268" w:type="dxa"/>
            <w:vMerge w:val="restart"/>
            <w:tcBorders>
              <w:top w:val="nil"/>
              <w:left w:val="nil"/>
              <w:bottom w:val="nil"/>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mangánérc, amelyben a </w:t>
            </w:r>
            <w:proofErr w:type="spellStart"/>
            <w:r>
              <w:rPr>
                <w:sz w:val="16"/>
                <w:szCs w:val="16"/>
              </w:rPr>
              <w:t>Mn</w:t>
            </w:r>
            <w:proofErr w:type="spellEnd"/>
            <w:r>
              <w:rPr>
                <w:sz w:val="16"/>
                <w:szCs w:val="16"/>
              </w:rPr>
              <w:t xml:space="preserve"> tartalmú ásványok több mint 60%-</w:t>
            </w:r>
            <w:proofErr w:type="gramStart"/>
            <w:r>
              <w:rPr>
                <w:sz w:val="16"/>
                <w:szCs w:val="16"/>
              </w:rPr>
              <w:t>a</w:t>
            </w:r>
            <w:proofErr w:type="gramEnd"/>
            <w:r>
              <w:rPr>
                <w:sz w:val="16"/>
                <w:szCs w:val="16"/>
              </w:rPr>
              <w:t xml:space="preserve">  oxidos formában vannak jelen, és mosással a </w:t>
            </w:r>
            <w:proofErr w:type="spellStart"/>
            <w:r>
              <w:rPr>
                <w:sz w:val="16"/>
                <w:szCs w:val="16"/>
              </w:rPr>
              <w:t>Mn</w:t>
            </w:r>
            <w:proofErr w:type="spellEnd"/>
            <w:r>
              <w:rPr>
                <w:sz w:val="16"/>
                <w:szCs w:val="16"/>
              </w:rPr>
              <w:t xml:space="preserve"> tartalom dúsítható. Fő ásványai: </w:t>
            </w:r>
            <w:proofErr w:type="spellStart"/>
            <w:r>
              <w:rPr>
                <w:sz w:val="16"/>
                <w:szCs w:val="16"/>
              </w:rPr>
              <w:t>pirolúzit</w:t>
            </w:r>
            <w:proofErr w:type="spellEnd"/>
            <w:r>
              <w:rPr>
                <w:sz w:val="16"/>
                <w:szCs w:val="16"/>
              </w:rPr>
              <w:t xml:space="preserve">, </w:t>
            </w:r>
            <w:proofErr w:type="spellStart"/>
            <w:r>
              <w:rPr>
                <w:sz w:val="16"/>
                <w:szCs w:val="16"/>
              </w:rPr>
              <w:t>pszilomelán</w:t>
            </w:r>
            <w:proofErr w:type="spellEnd"/>
            <w:r>
              <w:rPr>
                <w:sz w:val="16"/>
                <w:szCs w:val="16"/>
              </w:rPr>
              <w:t xml:space="preserve">, </w:t>
            </w:r>
            <w:proofErr w:type="spellStart"/>
            <w:r>
              <w:rPr>
                <w:sz w:val="16"/>
                <w:szCs w:val="16"/>
              </w:rPr>
              <w:t>manganit</w:t>
            </w:r>
            <w:proofErr w:type="spellEnd"/>
            <w:r>
              <w:rPr>
                <w:sz w:val="16"/>
                <w:szCs w:val="16"/>
              </w:rPr>
              <w:t xml:space="preserve">. </w:t>
            </w:r>
          </w:p>
        </w:tc>
        <w:tc>
          <w:tcPr>
            <w:tcW w:w="709" w:type="dxa"/>
            <w:vMerge w:val="restart"/>
            <w:tcBorders>
              <w:top w:val="nil"/>
              <w:left w:val="nil"/>
              <w:bottom w:val="nil"/>
              <w:right w:val="single" w:sz="4" w:space="0" w:color="auto"/>
            </w:tcBorders>
            <w:vAlign w:val="center"/>
          </w:tcPr>
          <w:p w:rsidR="00153F2F" w:rsidRDefault="00604D51">
            <w:pPr>
              <w:widowControl w:val="0"/>
              <w:spacing w:after="0"/>
              <w:ind w:firstLine="0"/>
              <w:jc w:val="center"/>
              <w:rPr>
                <w:sz w:val="16"/>
                <w:szCs w:val="16"/>
              </w:rPr>
            </w:pPr>
            <w:r>
              <w:rPr>
                <w:sz w:val="16"/>
                <w:szCs w:val="16"/>
              </w:rPr>
              <w:t>1811</w:t>
            </w:r>
          </w:p>
        </w:tc>
        <w:tc>
          <w:tcPr>
            <w:tcW w:w="1701" w:type="dxa"/>
            <w:vMerge w:val="restart"/>
            <w:tcBorders>
              <w:top w:val="single" w:sz="4" w:space="0" w:color="auto"/>
              <w:left w:val="single" w:sz="4" w:space="0" w:color="auto"/>
              <w:bottom w:val="nil"/>
              <w:right w:val="single" w:sz="4" w:space="0" w:color="auto"/>
            </w:tcBorders>
            <w:vAlign w:val="center"/>
          </w:tcPr>
          <w:p w:rsidR="00153F2F" w:rsidRDefault="00A26D52">
            <w:pPr>
              <w:widowControl w:val="0"/>
              <w:spacing w:after="0"/>
              <w:ind w:firstLine="0"/>
              <w:jc w:val="center"/>
              <w:rPr>
                <w:sz w:val="16"/>
                <w:szCs w:val="16"/>
              </w:rPr>
            </w:pPr>
            <w:r>
              <w:rPr>
                <w:noProof/>
              </w:rPr>
              <w:drawing>
                <wp:inline distT="0" distB="0" distL="0" distR="0" wp14:anchorId="63CB4A7A" wp14:editId="08F521FD">
                  <wp:extent cx="885825" cy="361950"/>
                  <wp:effectExtent l="0" t="0" r="9525"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361950"/>
                          </a:xfrm>
                          <a:prstGeom prst="rect">
                            <a:avLst/>
                          </a:prstGeom>
                          <a:noFill/>
                          <a:ln>
                            <a:noFill/>
                          </a:ln>
                        </pic:spPr>
                      </pic:pic>
                    </a:graphicData>
                  </a:graphic>
                </wp:inline>
              </w:drawing>
            </w:r>
          </w:p>
          <w:p w:rsidR="00153F2F" w:rsidRDefault="00153F2F">
            <w:pPr>
              <w:widowControl w:val="0"/>
              <w:spacing w:after="0"/>
              <w:ind w:firstLine="0"/>
              <w:jc w:val="center"/>
              <w:rPr>
                <w:sz w:val="16"/>
                <w:szCs w:val="16"/>
              </w:rPr>
            </w:pPr>
          </w:p>
          <w:p w:rsidR="00153F2F" w:rsidRDefault="00604D51">
            <w:pPr>
              <w:widowControl w:val="0"/>
              <w:spacing w:after="0"/>
              <w:ind w:firstLine="0"/>
              <w:jc w:val="center"/>
              <w:rPr>
                <w:sz w:val="16"/>
                <w:szCs w:val="16"/>
              </w:rPr>
            </w:pPr>
            <w:r>
              <w:rPr>
                <w:sz w:val="16"/>
                <w:szCs w:val="16"/>
              </w:rPr>
              <w:t>ahol:</w:t>
            </w:r>
            <w:r>
              <w:rPr>
                <w:sz w:val="16"/>
                <w:szCs w:val="16"/>
              </w:rPr>
              <w:br/>
            </w:r>
            <w:r>
              <w:rPr>
                <w:b/>
                <w:bCs/>
                <w:sz w:val="16"/>
                <w:szCs w:val="16"/>
              </w:rPr>
              <w:t>E</w:t>
            </w:r>
            <w:r>
              <w:rPr>
                <w:sz w:val="16"/>
                <w:szCs w:val="16"/>
              </w:rPr>
              <w:t>= az érc - bányajáradék szempontjából figyelembevett - értéke (Ft/t, ill. Ft/m</w:t>
            </w:r>
            <w:r>
              <w:rPr>
                <w:sz w:val="16"/>
                <w:szCs w:val="16"/>
                <w:vertAlign w:val="superscript"/>
              </w:rPr>
              <w:t>3</w:t>
            </w:r>
            <w:r>
              <w:rPr>
                <w:sz w:val="16"/>
                <w:szCs w:val="16"/>
              </w:rPr>
              <w:t>. )</w:t>
            </w:r>
            <w:r>
              <w:rPr>
                <w:sz w:val="16"/>
                <w:szCs w:val="16"/>
              </w:rPr>
              <w:br/>
            </w:r>
            <w:proofErr w:type="spellStart"/>
            <w:r>
              <w:rPr>
                <w:b/>
                <w:bCs/>
                <w:sz w:val="16"/>
                <w:szCs w:val="16"/>
              </w:rPr>
              <w:t>C</w:t>
            </w:r>
            <w:r>
              <w:rPr>
                <w:b/>
                <w:bCs/>
                <w:sz w:val="16"/>
                <w:szCs w:val="16"/>
                <w:vertAlign w:val="subscript"/>
              </w:rPr>
              <w:t>i</w:t>
            </w:r>
            <w:proofErr w:type="spellEnd"/>
            <w:r>
              <w:rPr>
                <w:sz w:val="16"/>
                <w:szCs w:val="16"/>
              </w:rPr>
              <w:t xml:space="preserve">= a bevallási időszakban kitermelt érc illetve a </w:t>
            </w:r>
            <w:proofErr w:type="spellStart"/>
            <w:r>
              <w:rPr>
                <w:sz w:val="16"/>
                <w:szCs w:val="16"/>
              </w:rPr>
              <w:t>perkoláció</w:t>
            </w:r>
            <w:proofErr w:type="spellEnd"/>
            <w:r>
              <w:rPr>
                <w:sz w:val="16"/>
                <w:szCs w:val="16"/>
              </w:rPr>
              <w:t xml:space="preserve"> során kitermelt folyadék “i” fém átlag tartalma (g/t. ill. g/m3)</w:t>
            </w:r>
            <w:r>
              <w:rPr>
                <w:sz w:val="16"/>
                <w:szCs w:val="16"/>
              </w:rPr>
              <w:br/>
            </w:r>
            <w:proofErr w:type="gramStart"/>
            <w:r>
              <w:rPr>
                <w:b/>
                <w:bCs/>
                <w:sz w:val="16"/>
                <w:szCs w:val="16"/>
              </w:rPr>
              <w:t xml:space="preserve">i   </w:t>
            </w:r>
            <w:r>
              <w:rPr>
                <w:sz w:val="16"/>
                <w:szCs w:val="16"/>
              </w:rPr>
              <w:t>= a</w:t>
            </w:r>
            <w:proofErr w:type="gramEnd"/>
            <w:r>
              <w:rPr>
                <w:sz w:val="16"/>
                <w:szCs w:val="16"/>
              </w:rPr>
              <w:t xml:space="preserve"> bányajáradék bevallás tárgyát képező fém</w:t>
            </w:r>
            <w:r>
              <w:rPr>
                <w:sz w:val="16"/>
                <w:szCs w:val="16"/>
              </w:rPr>
              <w:br/>
            </w:r>
            <w:r>
              <w:rPr>
                <w:b/>
                <w:bCs/>
                <w:sz w:val="16"/>
                <w:szCs w:val="16"/>
              </w:rPr>
              <w:t>n</w:t>
            </w:r>
            <w:r>
              <w:rPr>
                <w:sz w:val="16"/>
                <w:szCs w:val="16"/>
              </w:rPr>
              <w:t xml:space="preserve">  = az ércben illetve a </w:t>
            </w:r>
            <w:proofErr w:type="spellStart"/>
            <w:r>
              <w:rPr>
                <w:sz w:val="16"/>
                <w:szCs w:val="16"/>
              </w:rPr>
              <w:t>perkolációs</w:t>
            </w:r>
            <w:proofErr w:type="spellEnd"/>
            <w:r>
              <w:rPr>
                <w:sz w:val="16"/>
                <w:szCs w:val="16"/>
              </w:rPr>
              <w:t xml:space="preserve"> oldatban jelenlévő bányajáradék-köteles fémek összessége. </w:t>
            </w:r>
            <w:r>
              <w:rPr>
                <w:sz w:val="16"/>
                <w:szCs w:val="16"/>
              </w:rPr>
              <w:br/>
            </w:r>
            <w:proofErr w:type="spellStart"/>
            <w:r>
              <w:rPr>
                <w:b/>
                <w:bCs/>
                <w:sz w:val="16"/>
                <w:szCs w:val="16"/>
              </w:rPr>
              <w:t>Fé</w:t>
            </w:r>
            <w:r>
              <w:rPr>
                <w:b/>
                <w:bCs/>
                <w:sz w:val="16"/>
                <w:szCs w:val="16"/>
                <w:vertAlign w:val="subscript"/>
              </w:rPr>
              <w:t>i</w:t>
            </w:r>
            <w:proofErr w:type="spellEnd"/>
            <w:r>
              <w:rPr>
                <w:sz w:val="16"/>
                <w:szCs w:val="16"/>
              </w:rPr>
              <w:t xml:space="preserve">= az i fém alábbiak szerinti fajlagos értéke </w:t>
            </w:r>
            <w:r>
              <w:rPr>
                <w:sz w:val="16"/>
                <w:szCs w:val="16"/>
              </w:rPr>
              <w:br/>
            </w:r>
            <w:proofErr w:type="spellStart"/>
            <w:r>
              <w:rPr>
                <w:sz w:val="16"/>
                <w:szCs w:val="16"/>
              </w:rPr>
              <w:t>Fe</w:t>
            </w:r>
            <w:proofErr w:type="spellEnd"/>
            <w:r>
              <w:rPr>
                <w:sz w:val="16"/>
                <w:szCs w:val="16"/>
              </w:rPr>
              <w:t xml:space="preserve"> = 0,051 Ft/g. </w:t>
            </w:r>
          </w:p>
          <w:p w:rsidR="00153F2F" w:rsidRDefault="00604D51">
            <w:pPr>
              <w:widowControl w:val="0"/>
              <w:spacing w:after="0"/>
              <w:ind w:firstLine="0"/>
              <w:jc w:val="center"/>
              <w:rPr>
                <w:sz w:val="16"/>
                <w:szCs w:val="16"/>
              </w:rPr>
            </w:pPr>
            <w:proofErr w:type="spellStart"/>
            <w:r>
              <w:rPr>
                <w:sz w:val="16"/>
                <w:szCs w:val="16"/>
              </w:rPr>
              <w:t>Hg</w:t>
            </w:r>
            <w:proofErr w:type="spellEnd"/>
            <w:r>
              <w:rPr>
                <w:sz w:val="16"/>
                <w:szCs w:val="16"/>
              </w:rPr>
              <w:t xml:space="preserve"> = 11,8 Ft/g. </w:t>
            </w:r>
            <w:r>
              <w:rPr>
                <w:sz w:val="16"/>
                <w:szCs w:val="16"/>
              </w:rPr>
              <w:br/>
            </w:r>
            <w:proofErr w:type="spellStart"/>
            <w:r>
              <w:rPr>
                <w:sz w:val="16"/>
                <w:szCs w:val="16"/>
              </w:rPr>
              <w:t>Mn</w:t>
            </w:r>
            <w:proofErr w:type="spellEnd"/>
            <w:r>
              <w:rPr>
                <w:sz w:val="16"/>
                <w:szCs w:val="16"/>
              </w:rPr>
              <w:t xml:space="preserve"> = 0,688 Ft/g</w:t>
            </w:r>
          </w:p>
          <w:p w:rsidR="00153F2F" w:rsidRDefault="00604D51">
            <w:pPr>
              <w:widowControl w:val="0"/>
              <w:spacing w:after="0"/>
              <w:ind w:firstLine="0"/>
              <w:jc w:val="center"/>
              <w:rPr>
                <w:sz w:val="16"/>
                <w:szCs w:val="16"/>
              </w:rPr>
            </w:pPr>
            <w:proofErr w:type="spellStart"/>
            <w:r>
              <w:rPr>
                <w:sz w:val="16"/>
                <w:szCs w:val="16"/>
              </w:rPr>
              <w:t>Mo</w:t>
            </w:r>
            <w:proofErr w:type="spellEnd"/>
            <w:r>
              <w:rPr>
                <w:sz w:val="16"/>
                <w:szCs w:val="16"/>
              </w:rPr>
              <w:t xml:space="preserve"> = </w:t>
            </w:r>
            <w:proofErr w:type="gramStart"/>
            <w:r>
              <w:rPr>
                <w:sz w:val="16"/>
                <w:szCs w:val="16"/>
              </w:rPr>
              <w:t>7  Ft</w:t>
            </w:r>
            <w:proofErr w:type="gramEnd"/>
            <w:r>
              <w:rPr>
                <w:sz w:val="16"/>
                <w:szCs w:val="16"/>
              </w:rPr>
              <w:t>/g</w:t>
            </w:r>
            <w:r>
              <w:rPr>
                <w:sz w:val="16"/>
                <w:szCs w:val="16"/>
              </w:rPr>
              <w:br/>
              <w:t>U = 29,7 Ft/g</w:t>
            </w:r>
          </w:p>
          <w:p w:rsidR="00153F2F" w:rsidRDefault="00604D51">
            <w:pPr>
              <w:widowControl w:val="0"/>
              <w:spacing w:after="0"/>
              <w:ind w:firstLine="0"/>
              <w:jc w:val="center"/>
              <w:rPr>
                <w:sz w:val="16"/>
                <w:szCs w:val="16"/>
              </w:rPr>
            </w:pPr>
            <w:proofErr w:type="spellStart"/>
            <w:r>
              <w:rPr>
                <w:sz w:val="16"/>
                <w:szCs w:val="16"/>
              </w:rPr>
              <w:t>Zn</w:t>
            </w:r>
            <w:proofErr w:type="spellEnd"/>
            <w:r>
              <w:rPr>
                <w:sz w:val="16"/>
                <w:szCs w:val="16"/>
              </w:rPr>
              <w:t xml:space="preserve"> = 0,44 Ft/g</w:t>
            </w:r>
            <w:r>
              <w:rPr>
                <w:sz w:val="16"/>
                <w:szCs w:val="16"/>
              </w:rPr>
              <w:br/>
              <w:t>Pb = 0,455 Ft/g</w:t>
            </w:r>
          </w:p>
          <w:p w:rsidR="00153F2F" w:rsidRDefault="00604D51">
            <w:pPr>
              <w:widowControl w:val="0"/>
              <w:spacing w:after="0"/>
              <w:ind w:firstLine="0"/>
              <w:jc w:val="center"/>
              <w:rPr>
                <w:sz w:val="16"/>
                <w:szCs w:val="16"/>
              </w:rPr>
            </w:pPr>
            <w:proofErr w:type="spellStart"/>
            <w:r>
              <w:rPr>
                <w:sz w:val="16"/>
                <w:szCs w:val="16"/>
              </w:rPr>
              <w:t>Cu</w:t>
            </w:r>
            <w:proofErr w:type="spellEnd"/>
            <w:r>
              <w:rPr>
                <w:sz w:val="16"/>
                <w:szCs w:val="16"/>
              </w:rPr>
              <w:t xml:space="preserve"> = 1,835 Ft/</w:t>
            </w:r>
            <w:proofErr w:type="gramStart"/>
            <w:r>
              <w:rPr>
                <w:sz w:val="16"/>
                <w:szCs w:val="16"/>
              </w:rPr>
              <w:t>g</w:t>
            </w:r>
            <w:proofErr w:type="gramEnd"/>
            <w:r>
              <w:rPr>
                <w:sz w:val="16"/>
                <w:szCs w:val="16"/>
              </w:rPr>
              <w:br/>
              <w:t>Au = 11 847,55 Ft/g</w:t>
            </w:r>
          </w:p>
          <w:p w:rsidR="00153F2F" w:rsidRDefault="00604D51">
            <w:pPr>
              <w:widowControl w:val="0"/>
              <w:spacing w:after="0"/>
              <w:ind w:firstLine="0"/>
              <w:jc w:val="center"/>
              <w:rPr>
                <w:sz w:val="16"/>
                <w:szCs w:val="16"/>
              </w:rPr>
            </w:pPr>
            <w:proofErr w:type="spellStart"/>
            <w:r>
              <w:rPr>
                <w:sz w:val="16"/>
                <w:szCs w:val="16"/>
              </w:rPr>
              <w:t>Ag</w:t>
            </w:r>
            <w:proofErr w:type="spellEnd"/>
            <w:r>
              <w:rPr>
                <w:sz w:val="16"/>
                <w:szCs w:val="16"/>
              </w:rPr>
              <w:t xml:space="preserve"> = 233,768 Ft/g</w:t>
            </w:r>
            <w:r>
              <w:rPr>
                <w:sz w:val="16"/>
                <w:szCs w:val="16"/>
              </w:rPr>
              <w:br/>
            </w:r>
            <w:proofErr w:type="spellStart"/>
            <w:r>
              <w:rPr>
                <w:sz w:val="16"/>
                <w:szCs w:val="16"/>
              </w:rPr>
              <w:t>Rh</w:t>
            </w:r>
            <w:proofErr w:type="spellEnd"/>
            <w:r>
              <w:rPr>
                <w:sz w:val="16"/>
                <w:szCs w:val="16"/>
              </w:rPr>
              <w:t xml:space="preserve"> = 1 012 Ft/g</w:t>
            </w:r>
          </w:p>
          <w:p w:rsidR="00153F2F" w:rsidRDefault="00604D51">
            <w:pPr>
              <w:widowControl w:val="0"/>
              <w:spacing w:after="0"/>
              <w:ind w:firstLine="0"/>
              <w:jc w:val="center"/>
              <w:rPr>
                <w:sz w:val="16"/>
                <w:szCs w:val="16"/>
              </w:rPr>
            </w:pPr>
            <w:proofErr w:type="spellStart"/>
            <w:r>
              <w:rPr>
                <w:sz w:val="16"/>
                <w:szCs w:val="16"/>
              </w:rPr>
              <w:lastRenderedPageBreak/>
              <w:t>Ga</w:t>
            </w:r>
            <w:proofErr w:type="spellEnd"/>
            <w:r>
              <w:rPr>
                <w:sz w:val="16"/>
                <w:szCs w:val="16"/>
              </w:rPr>
              <w:t xml:space="preserve"> = 110 Ft/g</w:t>
            </w:r>
            <w:r>
              <w:rPr>
                <w:sz w:val="16"/>
                <w:szCs w:val="16"/>
              </w:rPr>
              <w:br/>
              <w:t>Ti = 2,31 Ft/g</w:t>
            </w:r>
            <w:r>
              <w:rPr>
                <w:sz w:val="16"/>
                <w:szCs w:val="16"/>
              </w:rPr>
              <w:br/>
            </w:r>
            <w:r>
              <w:rPr>
                <w:sz w:val="16"/>
                <w:szCs w:val="16"/>
              </w:rPr>
              <w:br/>
            </w:r>
            <w:r>
              <w:rPr>
                <w:b/>
                <w:bCs/>
                <w:i/>
                <w:iCs/>
                <w:sz w:val="16"/>
                <w:szCs w:val="16"/>
              </w:rPr>
              <w:t>Ritkaföldfémek:</w:t>
            </w:r>
            <w:r>
              <w:rPr>
                <w:sz w:val="16"/>
                <w:szCs w:val="16"/>
              </w:rPr>
              <w:br/>
            </w:r>
            <w:proofErr w:type="gramStart"/>
            <w:r>
              <w:rPr>
                <w:sz w:val="16"/>
                <w:szCs w:val="16"/>
              </w:rPr>
              <w:t>La</w:t>
            </w:r>
            <w:proofErr w:type="gramEnd"/>
            <w:r>
              <w:rPr>
                <w:sz w:val="16"/>
                <w:szCs w:val="16"/>
              </w:rPr>
              <w:t xml:space="preserve"> = 13,778 Ft/g</w:t>
            </w:r>
          </w:p>
          <w:p w:rsidR="00153F2F" w:rsidRDefault="00604D51">
            <w:pPr>
              <w:widowControl w:val="0"/>
              <w:spacing w:after="0"/>
              <w:ind w:firstLine="0"/>
              <w:jc w:val="center"/>
              <w:rPr>
                <w:sz w:val="16"/>
                <w:szCs w:val="16"/>
              </w:rPr>
            </w:pPr>
            <w:proofErr w:type="spellStart"/>
            <w:r>
              <w:rPr>
                <w:sz w:val="16"/>
                <w:szCs w:val="16"/>
              </w:rPr>
              <w:t>Ce</w:t>
            </w:r>
            <w:proofErr w:type="spellEnd"/>
            <w:r>
              <w:rPr>
                <w:sz w:val="16"/>
                <w:szCs w:val="16"/>
              </w:rPr>
              <w:t xml:space="preserve"> = 17,778 Ft/g</w:t>
            </w:r>
            <w:r>
              <w:rPr>
                <w:sz w:val="16"/>
                <w:szCs w:val="16"/>
              </w:rPr>
              <w:br/>
            </w:r>
            <w:proofErr w:type="spellStart"/>
            <w:r>
              <w:rPr>
                <w:sz w:val="16"/>
                <w:szCs w:val="16"/>
              </w:rPr>
              <w:t>Pr</w:t>
            </w:r>
            <w:proofErr w:type="spellEnd"/>
            <w:r>
              <w:rPr>
                <w:sz w:val="16"/>
                <w:szCs w:val="16"/>
              </w:rPr>
              <w:t xml:space="preserve"> = 55,556 Ft/g</w:t>
            </w:r>
          </w:p>
          <w:p w:rsidR="00153F2F" w:rsidRDefault="00604D51">
            <w:pPr>
              <w:widowControl w:val="0"/>
              <w:spacing w:after="0"/>
              <w:ind w:firstLine="0"/>
              <w:jc w:val="center"/>
              <w:rPr>
                <w:sz w:val="16"/>
                <w:szCs w:val="16"/>
              </w:rPr>
            </w:pPr>
            <w:proofErr w:type="spellStart"/>
            <w:r>
              <w:rPr>
                <w:sz w:val="16"/>
                <w:szCs w:val="16"/>
              </w:rPr>
              <w:t>Nd</w:t>
            </w:r>
            <w:proofErr w:type="spellEnd"/>
            <w:r>
              <w:rPr>
                <w:sz w:val="16"/>
                <w:szCs w:val="16"/>
              </w:rPr>
              <w:t xml:space="preserve"> = 62,222 Ft/g</w:t>
            </w:r>
            <w:r>
              <w:rPr>
                <w:sz w:val="16"/>
                <w:szCs w:val="16"/>
              </w:rPr>
              <w:br/>
            </w:r>
            <w:proofErr w:type="spellStart"/>
            <w:r>
              <w:rPr>
                <w:sz w:val="16"/>
                <w:szCs w:val="16"/>
              </w:rPr>
              <w:t>Sm</w:t>
            </w:r>
            <w:proofErr w:type="spellEnd"/>
            <w:r>
              <w:rPr>
                <w:sz w:val="16"/>
                <w:szCs w:val="16"/>
              </w:rPr>
              <w:t xml:space="preserve"> = 33,333 Ft/g</w:t>
            </w:r>
          </w:p>
          <w:p w:rsidR="00153F2F" w:rsidRDefault="00604D51">
            <w:pPr>
              <w:widowControl w:val="0"/>
              <w:spacing w:after="0"/>
              <w:ind w:firstLine="0"/>
              <w:jc w:val="center"/>
              <w:rPr>
                <w:sz w:val="16"/>
                <w:szCs w:val="16"/>
              </w:rPr>
            </w:pPr>
            <w:proofErr w:type="spellStart"/>
            <w:r>
              <w:rPr>
                <w:sz w:val="16"/>
                <w:szCs w:val="16"/>
              </w:rPr>
              <w:t>Gd</w:t>
            </w:r>
            <w:proofErr w:type="spellEnd"/>
            <w:r>
              <w:rPr>
                <w:sz w:val="16"/>
                <w:szCs w:val="16"/>
              </w:rPr>
              <w:t xml:space="preserve"> = 55,556 Ft/g</w:t>
            </w:r>
            <w:r>
              <w:rPr>
                <w:sz w:val="16"/>
                <w:szCs w:val="16"/>
              </w:rPr>
              <w:br/>
              <w:t>Tb = 73,333 Ft/g</w:t>
            </w:r>
          </w:p>
          <w:p w:rsidR="00153F2F" w:rsidRDefault="00604D51">
            <w:pPr>
              <w:widowControl w:val="0"/>
              <w:spacing w:after="0"/>
              <w:ind w:firstLine="0"/>
              <w:jc w:val="center"/>
              <w:rPr>
                <w:sz w:val="16"/>
                <w:szCs w:val="16"/>
              </w:rPr>
            </w:pPr>
            <w:proofErr w:type="spellStart"/>
            <w:r>
              <w:rPr>
                <w:sz w:val="16"/>
                <w:szCs w:val="16"/>
              </w:rPr>
              <w:t>Eu</w:t>
            </w:r>
            <w:proofErr w:type="spellEnd"/>
            <w:r>
              <w:rPr>
                <w:sz w:val="16"/>
                <w:szCs w:val="16"/>
              </w:rPr>
              <w:t xml:space="preserve"> = 985,25 Ft/g</w:t>
            </w:r>
            <w:r>
              <w:rPr>
                <w:sz w:val="16"/>
                <w:szCs w:val="16"/>
              </w:rPr>
              <w:br/>
            </w:r>
            <w:proofErr w:type="spellStart"/>
            <w:r>
              <w:rPr>
                <w:sz w:val="16"/>
                <w:szCs w:val="16"/>
              </w:rPr>
              <w:t>Er</w:t>
            </w:r>
            <w:proofErr w:type="spellEnd"/>
            <w:r>
              <w:rPr>
                <w:sz w:val="16"/>
                <w:szCs w:val="16"/>
              </w:rPr>
              <w:t xml:space="preserve"> = 77,778 Ft/g</w:t>
            </w:r>
          </w:p>
          <w:p w:rsidR="00153F2F" w:rsidRDefault="00604D51">
            <w:pPr>
              <w:widowControl w:val="0"/>
              <w:spacing w:after="0"/>
              <w:ind w:firstLine="0"/>
              <w:jc w:val="center"/>
              <w:rPr>
                <w:sz w:val="16"/>
                <w:szCs w:val="16"/>
              </w:rPr>
            </w:pPr>
            <w:r>
              <w:rPr>
                <w:sz w:val="16"/>
                <w:szCs w:val="16"/>
              </w:rPr>
              <w:t xml:space="preserve">Dj = 600 Ft/g </w:t>
            </w:r>
            <w:r>
              <w:rPr>
                <w:sz w:val="16"/>
                <w:szCs w:val="16"/>
              </w:rPr>
              <w:br/>
            </w:r>
            <w:r>
              <w:rPr>
                <w:sz w:val="16"/>
                <w:szCs w:val="16"/>
              </w:rPr>
              <w:br/>
            </w:r>
            <w:proofErr w:type="spellStart"/>
            <w:r>
              <w:rPr>
                <w:sz w:val="16"/>
                <w:szCs w:val="16"/>
              </w:rPr>
              <w:t>Sc</w:t>
            </w:r>
            <w:proofErr w:type="spellEnd"/>
            <w:r>
              <w:rPr>
                <w:sz w:val="16"/>
                <w:szCs w:val="16"/>
              </w:rPr>
              <w:t xml:space="preserve"> = 4 000 Ft/g</w:t>
            </w:r>
          </w:p>
          <w:p w:rsidR="00153F2F" w:rsidRDefault="00604D51">
            <w:pPr>
              <w:widowControl w:val="0"/>
              <w:spacing w:after="0"/>
              <w:ind w:firstLine="0"/>
              <w:jc w:val="center"/>
              <w:rPr>
                <w:sz w:val="16"/>
                <w:szCs w:val="16"/>
              </w:rPr>
            </w:pPr>
            <w:proofErr w:type="gramStart"/>
            <w:r>
              <w:rPr>
                <w:sz w:val="16"/>
                <w:szCs w:val="16"/>
              </w:rPr>
              <w:t>Y =  37</w:t>
            </w:r>
            <w:proofErr w:type="gramEnd"/>
            <w:r>
              <w:rPr>
                <w:sz w:val="16"/>
                <w:szCs w:val="16"/>
              </w:rPr>
              <w:t>,778 Ft/g</w:t>
            </w:r>
          </w:p>
        </w:tc>
        <w:tc>
          <w:tcPr>
            <w:tcW w:w="850"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Ft/</w:t>
            </w:r>
            <w:proofErr w:type="gramStart"/>
            <w:r>
              <w:rPr>
                <w:sz w:val="16"/>
                <w:szCs w:val="16"/>
              </w:rPr>
              <w:t>t</w:t>
            </w:r>
            <w:proofErr w:type="gramEnd"/>
            <w:r>
              <w:rPr>
                <w:sz w:val="16"/>
                <w:szCs w:val="16"/>
              </w:rPr>
              <w:t xml:space="preserve"> ill. </w:t>
            </w:r>
            <w:r>
              <w:rPr>
                <w:sz w:val="16"/>
                <w:szCs w:val="16"/>
              </w:rPr>
              <w:br/>
              <w:t>Ft/m</w:t>
            </w:r>
            <w:r>
              <w:rPr>
                <w:sz w:val="16"/>
                <w:szCs w:val="16"/>
                <w:vertAlign w:val="superscript"/>
              </w:rPr>
              <w:t>3</w:t>
            </w:r>
          </w:p>
        </w:tc>
        <w:tc>
          <w:tcPr>
            <w:tcW w:w="1418"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color w:val="FF0000"/>
                <w:sz w:val="16"/>
                <w:szCs w:val="16"/>
              </w:rPr>
            </w:pPr>
            <w:r>
              <w:rPr>
                <w:color w:val="FF0000"/>
                <w:sz w:val="16"/>
                <w:szCs w:val="16"/>
              </w:rPr>
              <w:t xml:space="preserve"> </w:t>
            </w:r>
          </w:p>
        </w:tc>
      </w:tr>
      <w:tr w:rsidR="00153F2F">
        <w:trPr>
          <w:cantSplit/>
          <w:trHeight w:val="899"/>
        </w:trPr>
        <w:tc>
          <w:tcPr>
            <w:tcW w:w="638"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center"/>
              <w:rPr>
                <w:sz w:val="16"/>
                <w:szCs w:val="16"/>
              </w:rPr>
            </w:pP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vMerge/>
            <w:tcBorders>
              <w:top w:val="nil"/>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2268" w:type="dxa"/>
            <w:vMerge/>
            <w:tcBorders>
              <w:top w:val="nil"/>
              <w:left w:val="nil"/>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709" w:type="dxa"/>
            <w:vMerge/>
            <w:tcBorders>
              <w:top w:val="nil"/>
              <w:left w:val="nil"/>
              <w:bottom w:val="single" w:sz="4" w:space="0" w:color="auto"/>
              <w:right w:val="single" w:sz="4" w:space="0" w:color="auto"/>
            </w:tcBorders>
            <w:vAlign w:val="center"/>
          </w:tcPr>
          <w:p w:rsidR="00153F2F" w:rsidRDefault="00153F2F">
            <w:pPr>
              <w:widowControl w:val="0"/>
              <w:spacing w:after="0"/>
              <w:ind w:firstLine="0"/>
              <w:jc w:val="center"/>
              <w:rPr>
                <w:sz w:val="16"/>
                <w:szCs w:val="16"/>
              </w:rPr>
            </w:pP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center"/>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color w:val="FF0000"/>
                <w:sz w:val="16"/>
                <w:szCs w:val="16"/>
              </w:rPr>
            </w:pPr>
          </w:p>
        </w:tc>
      </w:tr>
      <w:tr w:rsidR="00153F2F">
        <w:trPr>
          <w:cantSplit/>
          <w:trHeight w:val="132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78</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2. Oxidos, nem dúsítható mangánérc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mangánérc, amelyben a </w:t>
            </w:r>
            <w:proofErr w:type="spellStart"/>
            <w:r>
              <w:rPr>
                <w:sz w:val="16"/>
                <w:szCs w:val="16"/>
              </w:rPr>
              <w:t>Mn</w:t>
            </w:r>
            <w:proofErr w:type="spellEnd"/>
            <w:r>
              <w:rPr>
                <w:sz w:val="16"/>
                <w:szCs w:val="16"/>
              </w:rPr>
              <w:t xml:space="preserve"> tartalmú ásványok több mint 60%-</w:t>
            </w:r>
            <w:proofErr w:type="gramStart"/>
            <w:r>
              <w:rPr>
                <w:sz w:val="16"/>
                <w:szCs w:val="16"/>
              </w:rPr>
              <w:t>a</w:t>
            </w:r>
            <w:proofErr w:type="gramEnd"/>
            <w:r>
              <w:rPr>
                <w:sz w:val="16"/>
                <w:szCs w:val="16"/>
              </w:rPr>
              <w:t xml:space="preserve">  oxidos formában vannak jelen, és mosással a </w:t>
            </w:r>
            <w:proofErr w:type="spellStart"/>
            <w:r>
              <w:rPr>
                <w:sz w:val="16"/>
                <w:szCs w:val="16"/>
              </w:rPr>
              <w:t>Mn</w:t>
            </w:r>
            <w:proofErr w:type="spellEnd"/>
            <w:r>
              <w:rPr>
                <w:sz w:val="16"/>
                <w:szCs w:val="16"/>
              </w:rPr>
              <w:t xml:space="preserve"> tartalom nem dúsítható.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1812</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color w:val="FF0000"/>
                <w:sz w:val="16"/>
                <w:szCs w:val="16"/>
              </w:rPr>
            </w:pPr>
          </w:p>
        </w:tc>
      </w:tr>
      <w:tr w:rsidR="00153F2F">
        <w:trPr>
          <w:cantSplit/>
          <w:trHeight w:val="76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79</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2. Vasérc</w:t>
            </w:r>
          </w:p>
        </w:tc>
        <w:tc>
          <w:tcPr>
            <w:tcW w:w="3119"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sz w:val="16"/>
                <w:szCs w:val="16"/>
              </w:rPr>
              <w:t xml:space="preserve">Olyan érc, amelyben a vas és kísérő elemeinek ásványai dúsulnak fel. Az ércből valamilyen kémiai, kohászati eljárással elsősorban vas, de a vasérc feldolgozásával egy időben további fémek előállítására is lehetőség nyílik. Oxidos vasércek: hematit, </w:t>
            </w:r>
            <w:proofErr w:type="spellStart"/>
            <w:r>
              <w:rPr>
                <w:sz w:val="16"/>
                <w:szCs w:val="16"/>
              </w:rPr>
              <w:t>limonit</w:t>
            </w:r>
            <w:proofErr w:type="spellEnd"/>
            <w:r>
              <w:rPr>
                <w:sz w:val="16"/>
                <w:szCs w:val="16"/>
              </w:rPr>
              <w:t xml:space="preserve">, </w:t>
            </w:r>
            <w:proofErr w:type="spellStart"/>
            <w:r>
              <w:rPr>
                <w:sz w:val="16"/>
                <w:szCs w:val="16"/>
              </w:rPr>
              <w:t>goethit</w:t>
            </w:r>
            <w:proofErr w:type="spellEnd"/>
            <w:r>
              <w:rPr>
                <w:sz w:val="16"/>
                <w:szCs w:val="16"/>
              </w:rPr>
              <w:t xml:space="preserve">, magnetit. Karbonátos vasércek: sziderit, </w:t>
            </w:r>
            <w:proofErr w:type="spellStart"/>
            <w:r>
              <w:rPr>
                <w:sz w:val="16"/>
                <w:szCs w:val="16"/>
              </w:rPr>
              <w:t>ankerit</w:t>
            </w:r>
            <w:proofErr w:type="spellEnd"/>
            <w:r>
              <w:rPr>
                <w:sz w:val="16"/>
                <w:szCs w:val="16"/>
              </w:rPr>
              <w:t xml:space="preserve">. Szulfidos vasércek: pirit, markazit. </w:t>
            </w: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1. Pát vasérc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vasérc, amelyben az </w:t>
            </w:r>
            <w:proofErr w:type="spellStart"/>
            <w:r>
              <w:rPr>
                <w:sz w:val="16"/>
                <w:szCs w:val="16"/>
              </w:rPr>
              <w:t>Fe</w:t>
            </w:r>
            <w:proofErr w:type="spellEnd"/>
            <w:r>
              <w:rPr>
                <w:sz w:val="16"/>
                <w:szCs w:val="16"/>
              </w:rPr>
              <w:t xml:space="preserve"> tartalmú ásványok több mint 80%-</w:t>
            </w:r>
            <w:proofErr w:type="gramStart"/>
            <w:r>
              <w:rPr>
                <w:sz w:val="16"/>
                <w:szCs w:val="16"/>
              </w:rPr>
              <w:t>a  karbonátos</w:t>
            </w:r>
            <w:proofErr w:type="gramEnd"/>
            <w:r>
              <w:rPr>
                <w:sz w:val="16"/>
                <w:szCs w:val="16"/>
              </w:rPr>
              <w:t xml:space="preserve"> (sziderit) formában vannak jelen.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1821</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color w:val="FF0000"/>
                <w:sz w:val="16"/>
                <w:szCs w:val="16"/>
              </w:rPr>
            </w:pPr>
          </w:p>
        </w:tc>
      </w:tr>
      <w:tr w:rsidR="00153F2F">
        <w:trPr>
          <w:cantSplit/>
          <w:trHeight w:val="76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80</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2. Szilikátos pát vasérc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karbonátos vasérc, amelyben az </w:t>
            </w:r>
            <w:proofErr w:type="spellStart"/>
            <w:r>
              <w:rPr>
                <w:sz w:val="16"/>
                <w:szCs w:val="16"/>
              </w:rPr>
              <w:t>Fe</w:t>
            </w:r>
            <w:proofErr w:type="spellEnd"/>
            <w:r>
              <w:rPr>
                <w:sz w:val="16"/>
                <w:szCs w:val="16"/>
              </w:rPr>
              <w:t xml:space="preserve"> tartalmú ásványok legalább 40%-aszilikát és oxid formában vannak jelen.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1822</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color w:val="FF0000"/>
                <w:sz w:val="16"/>
                <w:szCs w:val="16"/>
              </w:rPr>
            </w:pPr>
          </w:p>
        </w:tc>
      </w:tr>
      <w:tr w:rsidR="00153F2F">
        <w:trPr>
          <w:cantSplit/>
          <w:trHeight w:val="51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81</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3. Pirites homok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vasérc, amelyben az </w:t>
            </w:r>
            <w:proofErr w:type="spellStart"/>
            <w:r>
              <w:rPr>
                <w:sz w:val="16"/>
                <w:szCs w:val="16"/>
              </w:rPr>
              <w:t>Fe</w:t>
            </w:r>
            <w:proofErr w:type="spellEnd"/>
            <w:r>
              <w:rPr>
                <w:sz w:val="16"/>
                <w:szCs w:val="16"/>
              </w:rPr>
              <w:t xml:space="preserve"> több mint 80%-</w:t>
            </w:r>
            <w:proofErr w:type="gramStart"/>
            <w:r>
              <w:rPr>
                <w:sz w:val="16"/>
                <w:szCs w:val="16"/>
              </w:rPr>
              <w:t>a  pirit</w:t>
            </w:r>
            <w:proofErr w:type="gramEnd"/>
            <w:r>
              <w:rPr>
                <w:sz w:val="16"/>
                <w:szCs w:val="16"/>
              </w:rPr>
              <w:t xml:space="preserve"> formában van jelen.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1823</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color w:val="FF0000"/>
                <w:sz w:val="16"/>
                <w:szCs w:val="16"/>
              </w:rPr>
            </w:pPr>
          </w:p>
        </w:tc>
      </w:tr>
      <w:tr w:rsidR="00153F2F">
        <w:trPr>
          <w:cantSplit/>
          <w:trHeight w:val="51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82</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4. Titántartalmú vasérc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vasérc melyben </w:t>
            </w:r>
            <w:proofErr w:type="spellStart"/>
            <w:r>
              <w:rPr>
                <w:sz w:val="16"/>
                <w:szCs w:val="16"/>
              </w:rPr>
              <w:t>azFe</w:t>
            </w:r>
            <w:proofErr w:type="spellEnd"/>
            <w:r>
              <w:rPr>
                <w:sz w:val="16"/>
                <w:szCs w:val="16"/>
              </w:rPr>
              <w:t xml:space="preserve"> mellett Ti és V ásványok találhatók (</w:t>
            </w:r>
            <w:proofErr w:type="spellStart"/>
            <w:r>
              <w:rPr>
                <w:sz w:val="16"/>
                <w:szCs w:val="16"/>
              </w:rPr>
              <w:t>Wherlit</w:t>
            </w:r>
            <w:proofErr w:type="spellEnd"/>
            <w:r>
              <w:rPr>
                <w:sz w:val="16"/>
                <w:szCs w:val="16"/>
              </w:rPr>
              <w:t xml:space="preserve">).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1824</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color w:val="FF0000"/>
                <w:sz w:val="16"/>
                <w:szCs w:val="16"/>
              </w:rPr>
            </w:pPr>
          </w:p>
        </w:tc>
      </w:tr>
      <w:tr w:rsidR="00153F2F">
        <w:trPr>
          <w:cantSplit/>
          <w:trHeight w:val="51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83</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5. Barnavasérc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vasérc melyben </w:t>
            </w:r>
            <w:proofErr w:type="spellStart"/>
            <w:r>
              <w:rPr>
                <w:sz w:val="16"/>
                <w:szCs w:val="16"/>
              </w:rPr>
              <w:t>azFeoxi-hidroxidos</w:t>
            </w:r>
            <w:proofErr w:type="spellEnd"/>
            <w:r>
              <w:rPr>
                <w:sz w:val="16"/>
                <w:szCs w:val="16"/>
              </w:rPr>
              <w:t xml:space="preserve"> ásványok formájában van jelen.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1825</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color w:val="FF0000"/>
                <w:sz w:val="16"/>
                <w:szCs w:val="16"/>
              </w:rPr>
            </w:pPr>
          </w:p>
        </w:tc>
      </w:tr>
      <w:tr w:rsidR="00153F2F">
        <w:trPr>
          <w:cantSplit/>
          <w:trHeight w:val="102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84</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6. </w:t>
            </w:r>
            <w:proofErr w:type="spellStart"/>
            <w:r>
              <w:rPr>
                <w:b/>
                <w:bCs/>
                <w:sz w:val="16"/>
                <w:szCs w:val="16"/>
              </w:rPr>
              <w:t>Ankerit</w:t>
            </w:r>
            <w:proofErr w:type="spellEnd"/>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Olyan vasérc, amelyben a CO</w:t>
            </w:r>
            <w:r>
              <w:rPr>
                <w:sz w:val="16"/>
                <w:szCs w:val="16"/>
                <w:vertAlign w:val="subscript"/>
              </w:rPr>
              <w:t>3</w:t>
            </w:r>
            <w:r>
              <w:rPr>
                <w:sz w:val="16"/>
                <w:szCs w:val="16"/>
              </w:rPr>
              <w:t xml:space="preserve"> tartalom magas, és a vas tartalmú ásványok több mint 80%-</w:t>
            </w:r>
            <w:proofErr w:type="gramStart"/>
            <w:r>
              <w:rPr>
                <w:sz w:val="16"/>
                <w:szCs w:val="16"/>
              </w:rPr>
              <w:t>a  karbonátos</w:t>
            </w:r>
            <w:proofErr w:type="gramEnd"/>
            <w:r>
              <w:rPr>
                <w:sz w:val="16"/>
                <w:szCs w:val="16"/>
              </w:rPr>
              <w:t xml:space="preserve"> (sziderit) formában vannak jelen.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1826</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color w:val="FF0000"/>
                <w:sz w:val="16"/>
                <w:szCs w:val="16"/>
              </w:rPr>
            </w:pPr>
          </w:p>
        </w:tc>
      </w:tr>
      <w:tr w:rsidR="00153F2F">
        <w:trPr>
          <w:cantSplit/>
          <w:trHeight w:val="76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85</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3. Rézérc </w:t>
            </w:r>
          </w:p>
        </w:tc>
        <w:tc>
          <w:tcPr>
            <w:tcW w:w="3119"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érc, amelyben a réz és kísérő </w:t>
            </w:r>
            <w:proofErr w:type="gramStart"/>
            <w:r>
              <w:rPr>
                <w:sz w:val="16"/>
                <w:szCs w:val="16"/>
              </w:rPr>
              <w:t>elemeinek  ásványai</w:t>
            </w:r>
            <w:proofErr w:type="gramEnd"/>
            <w:r>
              <w:rPr>
                <w:sz w:val="16"/>
                <w:szCs w:val="16"/>
              </w:rPr>
              <w:t xml:space="preserve"> dúsulnak fel.  Az ércből valamilyen kémiai, kohászati eljárással elsősorban réz, de a rézérc feldolgozása során további fémek előállítására is lehetőség nyílik. </w:t>
            </w: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1. </w:t>
            </w:r>
            <w:proofErr w:type="spellStart"/>
            <w:r>
              <w:rPr>
                <w:b/>
                <w:bCs/>
                <w:sz w:val="16"/>
                <w:szCs w:val="16"/>
              </w:rPr>
              <w:t>Kalkopirites</w:t>
            </w:r>
            <w:proofErr w:type="spellEnd"/>
            <w:r>
              <w:rPr>
                <w:b/>
                <w:bCs/>
                <w:sz w:val="16"/>
                <w:szCs w:val="16"/>
              </w:rPr>
              <w:t xml:space="preserve"> rézérc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rézérc, amelyben a </w:t>
            </w:r>
            <w:proofErr w:type="spellStart"/>
            <w:r>
              <w:rPr>
                <w:sz w:val="16"/>
                <w:szCs w:val="16"/>
              </w:rPr>
              <w:t>Cu</w:t>
            </w:r>
            <w:proofErr w:type="spellEnd"/>
            <w:r>
              <w:rPr>
                <w:sz w:val="16"/>
                <w:szCs w:val="16"/>
              </w:rPr>
              <w:t xml:space="preserve"> tartalmú ásványok több mint 80%-a </w:t>
            </w:r>
            <w:proofErr w:type="spellStart"/>
            <w:r>
              <w:rPr>
                <w:sz w:val="16"/>
                <w:szCs w:val="16"/>
              </w:rPr>
              <w:t>kalkopirit</w:t>
            </w:r>
            <w:proofErr w:type="spellEnd"/>
            <w:r>
              <w:rPr>
                <w:sz w:val="16"/>
                <w:szCs w:val="16"/>
              </w:rPr>
              <w:t xml:space="preserve"> és egyéb </w:t>
            </w:r>
            <w:proofErr w:type="spellStart"/>
            <w:r>
              <w:rPr>
                <w:sz w:val="16"/>
                <w:szCs w:val="16"/>
              </w:rPr>
              <w:t>Cu</w:t>
            </w:r>
            <w:proofErr w:type="spellEnd"/>
            <w:r>
              <w:rPr>
                <w:sz w:val="16"/>
                <w:szCs w:val="16"/>
              </w:rPr>
              <w:t xml:space="preserve"> szulfid formában vannak jelen.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1831</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color w:val="FF0000"/>
                <w:sz w:val="16"/>
                <w:szCs w:val="16"/>
              </w:rPr>
            </w:pPr>
          </w:p>
        </w:tc>
      </w:tr>
      <w:tr w:rsidR="00153F2F">
        <w:trPr>
          <w:cantSplit/>
          <w:trHeight w:val="102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86</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2. </w:t>
            </w:r>
            <w:proofErr w:type="spellStart"/>
            <w:r>
              <w:rPr>
                <w:b/>
                <w:bCs/>
                <w:sz w:val="16"/>
                <w:szCs w:val="16"/>
              </w:rPr>
              <w:t>Enargitos</w:t>
            </w:r>
            <w:proofErr w:type="spellEnd"/>
            <w:r>
              <w:rPr>
                <w:b/>
                <w:bCs/>
                <w:sz w:val="16"/>
                <w:szCs w:val="16"/>
              </w:rPr>
              <w:t xml:space="preserve"> rézérc </w:t>
            </w:r>
          </w:p>
        </w:tc>
        <w:tc>
          <w:tcPr>
            <w:tcW w:w="226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rézérc, amelyben a </w:t>
            </w:r>
            <w:proofErr w:type="spellStart"/>
            <w:r>
              <w:rPr>
                <w:sz w:val="16"/>
                <w:szCs w:val="16"/>
              </w:rPr>
              <w:t>Cu</w:t>
            </w:r>
            <w:proofErr w:type="spellEnd"/>
            <w:r>
              <w:rPr>
                <w:sz w:val="16"/>
                <w:szCs w:val="16"/>
              </w:rPr>
              <w:t xml:space="preserve"> tartalmú ásványok zömében több mint 60%-aenargités egyéb komplex szulfid formában vannak jelen. </w:t>
            </w: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1832</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color w:val="FF0000"/>
                <w:sz w:val="16"/>
                <w:szCs w:val="16"/>
              </w:rPr>
            </w:pPr>
          </w:p>
        </w:tc>
      </w:tr>
      <w:tr w:rsidR="00153F2F">
        <w:trPr>
          <w:cantSplit/>
          <w:trHeight w:val="219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87</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4. </w:t>
            </w:r>
            <w:proofErr w:type="spellStart"/>
            <w:r>
              <w:rPr>
                <w:b/>
                <w:bCs/>
                <w:sz w:val="16"/>
                <w:szCs w:val="16"/>
              </w:rPr>
              <w:t>Poli-</w:t>
            </w:r>
            <w:proofErr w:type="spellEnd"/>
            <w:r>
              <w:rPr>
                <w:b/>
                <w:bCs/>
                <w:sz w:val="16"/>
                <w:szCs w:val="16"/>
              </w:rPr>
              <w:br/>
            </w:r>
            <w:proofErr w:type="spellStart"/>
            <w:r>
              <w:rPr>
                <w:b/>
                <w:bCs/>
                <w:sz w:val="16"/>
                <w:szCs w:val="16"/>
              </w:rPr>
              <w:t>metallikus</w:t>
            </w:r>
            <w:proofErr w:type="spellEnd"/>
            <w:r>
              <w:rPr>
                <w:b/>
                <w:bCs/>
                <w:sz w:val="16"/>
                <w:szCs w:val="16"/>
              </w:rPr>
              <w:t xml:space="preserve"> érc</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Olyan érc, amelyben cink, ólom és réz valamint kísérő elemeinek ásványai dúsulnak fel. Az ércből valamilyen kémiai, kohászati eljárással elsősorban cink, ólom és réz, de az érc feldolgozásával egy időben további fémek előállítására is lehetőség nyílik.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1840</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color w:val="FF0000"/>
                <w:sz w:val="16"/>
                <w:szCs w:val="16"/>
              </w:rPr>
            </w:pPr>
          </w:p>
        </w:tc>
      </w:tr>
      <w:tr w:rsidR="00153F2F">
        <w:trPr>
          <w:cantSplit/>
          <w:trHeight w:val="222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88</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5. Nemesfémérc </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érc, amelyben nemesfém (Au, </w:t>
            </w:r>
            <w:proofErr w:type="spellStart"/>
            <w:r>
              <w:rPr>
                <w:sz w:val="16"/>
                <w:szCs w:val="16"/>
              </w:rPr>
              <w:t>Ag</w:t>
            </w:r>
            <w:proofErr w:type="spellEnd"/>
            <w:r>
              <w:rPr>
                <w:sz w:val="16"/>
                <w:szCs w:val="16"/>
              </w:rPr>
              <w:t xml:space="preserve">, </w:t>
            </w:r>
            <w:proofErr w:type="spellStart"/>
            <w:r>
              <w:rPr>
                <w:sz w:val="16"/>
                <w:szCs w:val="16"/>
              </w:rPr>
              <w:t>Pt</w:t>
            </w:r>
            <w:proofErr w:type="spellEnd"/>
            <w:r>
              <w:rPr>
                <w:sz w:val="16"/>
                <w:szCs w:val="16"/>
              </w:rPr>
              <w:t xml:space="preserve"> stb.) és kísérő </w:t>
            </w:r>
            <w:proofErr w:type="gramStart"/>
            <w:r>
              <w:rPr>
                <w:sz w:val="16"/>
                <w:szCs w:val="16"/>
              </w:rPr>
              <w:t>elemeinek  ásványai</w:t>
            </w:r>
            <w:proofErr w:type="gramEnd"/>
            <w:r>
              <w:rPr>
                <w:sz w:val="16"/>
                <w:szCs w:val="16"/>
              </w:rPr>
              <w:t xml:space="preserve"> és terméselemei dúsulnak fel. Az ércből valamilyen kémiai, kohászati eljárással elsősorban nemesfém, de a nemesfémérc </w:t>
            </w:r>
            <w:proofErr w:type="gramStart"/>
            <w:r>
              <w:rPr>
                <w:sz w:val="16"/>
                <w:szCs w:val="16"/>
              </w:rPr>
              <w:t>kinyerésével  egy</w:t>
            </w:r>
            <w:proofErr w:type="gramEnd"/>
            <w:r>
              <w:rPr>
                <w:sz w:val="16"/>
                <w:szCs w:val="16"/>
              </w:rPr>
              <w:t xml:space="preserve"> időben további fémek előállítására is lehetőség nyílik.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1850</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color w:val="FF0000"/>
                <w:sz w:val="16"/>
                <w:szCs w:val="16"/>
              </w:rPr>
            </w:pPr>
          </w:p>
        </w:tc>
      </w:tr>
      <w:tr w:rsidR="00153F2F">
        <w:trPr>
          <w:cantSplit/>
          <w:trHeight w:val="261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89</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6. Radioaktív ércek, elemek</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Olyan érc, amelyben urán és/vagy </w:t>
            </w:r>
            <w:proofErr w:type="spellStart"/>
            <w:r>
              <w:rPr>
                <w:sz w:val="16"/>
                <w:szCs w:val="16"/>
              </w:rPr>
              <w:t>thorium</w:t>
            </w:r>
            <w:proofErr w:type="spellEnd"/>
            <w:r>
              <w:rPr>
                <w:sz w:val="16"/>
                <w:szCs w:val="16"/>
              </w:rPr>
              <w:t xml:space="preserve"> és kísérő </w:t>
            </w:r>
            <w:proofErr w:type="gramStart"/>
            <w:r>
              <w:rPr>
                <w:sz w:val="16"/>
                <w:szCs w:val="16"/>
              </w:rPr>
              <w:t>elemeinek  ásványai</w:t>
            </w:r>
            <w:proofErr w:type="gramEnd"/>
            <w:r>
              <w:rPr>
                <w:sz w:val="16"/>
                <w:szCs w:val="16"/>
              </w:rPr>
              <w:t xml:space="preserve"> dúsulnak fel. Az ércből valamilyen kémiai, kohászati eljárással elsősorban U, Th, vagy egyéb radioaktív elem, de az érc feldolgozásával </w:t>
            </w:r>
            <w:proofErr w:type="spellStart"/>
            <w:r>
              <w:rPr>
                <w:sz w:val="16"/>
                <w:szCs w:val="16"/>
              </w:rPr>
              <w:t>egyidőben</w:t>
            </w:r>
            <w:proofErr w:type="spellEnd"/>
            <w:r>
              <w:rPr>
                <w:sz w:val="16"/>
                <w:szCs w:val="16"/>
              </w:rPr>
              <w:t xml:space="preserve"> további - elsősorban radioaktív és ritka elemek kinyerésével - fémek előállítására is lehetőség nyílik.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1860</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color w:val="FF0000"/>
                <w:sz w:val="16"/>
                <w:szCs w:val="16"/>
              </w:rPr>
            </w:pPr>
          </w:p>
        </w:tc>
      </w:tr>
      <w:tr w:rsidR="00153F2F">
        <w:trPr>
          <w:cantSplit/>
          <w:trHeight w:val="165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90</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7. Egyéb érc</w:t>
            </w:r>
          </w:p>
        </w:tc>
        <w:tc>
          <w:tcPr>
            <w:tcW w:w="3119"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 jellemző fém alkotórész alapján nevesített érc, beleértve a </w:t>
            </w:r>
            <w:proofErr w:type="spellStart"/>
            <w:r>
              <w:rPr>
                <w:sz w:val="16"/>
                <w:szCs w:val="16"/>
              </w:rPr>
              <w:t>lantanidák</w:t>
            </w:r>
            <w:proofErr w:type="spellEnd"/>
            <w:r>
              <w:rPr>
                <w:sz w:val="16"/>
                <w:szCs w:val="16"/>
              </w:rPr>
              <w:t xml:space="preserve"> és az </w:t>
            </w:r>
            <w:proofErr w:type="spellStart"/>
            <w:r>
              <w:rPr>
                <w:sz w:val="16"/>
                <w:szCs w:val="16"/>
              </w:rPr>
              <w:t>aktinidák</w:t>
            </w:r>
            <w:proofErr w:type="spellEnd"/>
            <w:r>
              <w:rPr>
                <w:sz w:val="16"/>
                <w:szCs w:val="16"/>
              </w:rPr>
              <w:t xml:space="preserve"> valamint kísérő elemeinek érceit függetlenül az érc ásványtani felépítésétől (szilikát, oxid, szulfid stb.) és genetikájától.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1870</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color w:val="FF0000"/>
                <w:sz w:val="16"/>
                <w:szCs w:val="16"/>
              </w:rPr>
            </w:pPr>
          </w:p>
        </w:tc>
      </w:tr>
      <w:tr w:rsidR="00153F2F">
        <w:trPr>
          <w:cantSplit/>
          <w:trHeight w:val="441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91</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8. Bauxit</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üledékes kőzet, melyben az alumínium, vas-, és a titán-oxid, illetve </w:t>
            </w:r>
            <w:proofErr w:type="spellStart"/>
            <w:r>
              <w:rPr>
                <w:sz w:val="16"/>
                <w:szCs w:val="16"/>
              </w:rPr>
              <w:t>-hidroxid</w:t>
            </w:r>
            <w:proofErr w:type="spellEnd"/>
            <w:r>
              <w:rPr>
                <w:sz w:val="16"/>
                <w:szCs w:val="16"/>
              </w:rPr>
              <w:t xml:space="preserve"> ásványainak együttes mennyisége&gt; 50% és ezen belül az alumíniumásványok vannak többségben. A bauxitjelleget a mennyiségi ásványos összetétel határozza meg. A bauxit alumíniumércként való meghatározása nem egyértelmű, és nem mindenhol elfogadott. Képződése olyan üledékképződési és </w:t>
            </w:r>
            <w:proofErr w:type="spellStart"/>
            <w:r>
              <w:rPr>
                <w:sz w:val="16"/>
                <w:szCs w:val="16"/>
              </w:rPr>
              <w:t>diagenetikus</w:t>
            </w:r>
            <w:proofErr w:type="spellEnd"/>
            <w:r>
              <w:rPr>
                <w:sz w:val="16"/>
                <w:szCs w:val="16"/>
              </w:rPr>
              <w:t xml:space="preserve"> folyamatok összessége, mely alumíniumban különösen dús üledékes kőzetek kialakulásához vezet, beleértve a mállás, a szállítás, a leülepedés és a bauxitosodás folyamatait is. </w:t>
            </w:r>
          </w:p>
        </w:tc>
        <w:tc>
          <w:tcPr>
            <w:tcW w:w="1417" w:type="dxa"/>
            <w:tcBorders>
              <w:top w:val="single" w:sz="4" w:space="0" w:color="auto"/>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c>
          <w:tcPr>
            <w:tcW w:w="2268" w:type="dxa"/>
            <w:tcBorders>
              <w:top w:val="single" w:sz="4" w:space="0" w:color="auto"/>
              <w:left w:val="nil"/>
              <w:bottom w:val="single" w:sz="4" w:space="0" w:color="auto"/>
              <w:right w:val="single" w:sz="4" w:space="0" w:color="auto"/>
            </w:tcBorders>
            <w:vAlign w:val="bottom"/>
          </w:tcPr>
          <w:p w:rsidR="00153F2F" w:rsidRDefault="00153F2F">
            <w:pPr>
              <w:widowControl w:val="0"/>
              <w:spacing w:after="0"/>
              <w:ind w:firstLine="0"/>
              <w:jc w:val="left"/>
              <w:rPr>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1880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21 400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8100 Bauxit</w:t>
            </w:r>
          </w:p>
        </w:tc>
      </w:tr>
      <w:tr w:rsidR="00153F2F">
        <w:trPr>
          <w:cantSplit/>
          <w:trHeight w:val="79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92</w:t>
            </w:r>
          </w:p>
        </w:tc>
        <w:tc>
          <w:tcPr>
            <w:tcW w:w="1701" w:type="dxa"/>
            <w:vMerge w:val="restart"/>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b/>
                <w:bCs/>
                <w:sz w:val="16"/>
                <w:szCs w:val="16"/>
              </w:rPr>
              <w:t>10. Ipari ásványok</w:t>
            </w:r>
          </w:p>
          <w:p w:rsidR="00153F2F" w:rsidRDefault="00604D51">
            <w:pPr>
              <w:widowControl w:val="0"/>
              <w:spacing w:after="0"/>
              <w:ind w:firstLine="0"/>
              <w:jc w:val="left"/>
              <w:rPr>
                <w:sz w:val="16"/>
                <w:szCs w:val="16"/>
              </w:rPr>
            </w:pPr>
            <w:r>
              <w:rPr>
                <w:sz w:val="16"/>
                <w:szCs w:val="16"/>
              </w:rPr>
              <w:t xml:space="preserve">A keletkezésük helyétől, módjától és befogadó kőzettől függetlenül olyan feldúsult ásványok, ásványtárulások, melyek fizikai eljárással a befogadó kőzetből kinyerhetők. </w:t>
            </w: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1. Barit (BaSO</w:t>
            </w:r>
            <w:r>
              <w:rPr>
                <w:b/>
                <w:bCs/>
                <w:sz w:val="16"/>
                <w:szCs w:val="16"/>
                <w:vertAlign w:val="subscript"/>
              </w:rPr>
              <w:t>4</w:t>
            </w:r>
            <w:r>
              <w:rPr>
                <w:b/>
                <w:bCs/>
                <w:sz w:val="16"/>
                <w:szCs w:val="16"/>
              </w:rPr>
              <w:t>)</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Olyan barit (BaSO</w:t>
            </w:r>
            <w:r>
              <w:rPr>
                <w:sz w:val="16"/>
                <w:szCs w:val="16"/>
                <w:vertAlign w:val="subscript"/>
              </w:rPr>
              <w:t>4</w:t>
            </w:r>
            <w:r>
              <w:rPr>
                <w:sz w:val="16"/>
                <w:szCs w:val="16"/>
              </w:rPr>
              <w:t xml:space="preserve">) ásvány tartalmú nyersanyag, amelynek barit tartalma eléri vagy meghaladja az 50%-ot. </w:t>
            </w:r>
          </w:p>
        </w:tc>
        <w:tc>
          <w:tcPr>
            <w:tcW w:w="1417" w:type="dxa"/>
            <w:tcBorders>
              <w:top w:val="single" w:sz="4" w:space="0" w:color="auto"/>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c>
          <w:tcPr>
            <w:tcW w:w="2268" w:type="dxa"/>
            <w:tcBorders>
              <w:top w:val="single" w:sz="4" w:space="0" w:color="auto"/>
              <w:left w:val="nil"/>
              <w:bottom w:val="single" w:sz="4" w:space="0" w:color="auto"/>
              <w:right w:val="single" w:sz="4" w:space="0" w:color="auto"/>
            </w:tcBorders>
            <w:vAlign w:val="bottom"/>
          </w:tcPr>
          <w:p w:rsidR="00153F2F" w:rsidRDefault="00153F2F">
            <w:pPr>
              <w:widowControl w:val="0"/>
              <w:spacing w:after="0"/>
              <w:ind w:firstLine="0"/>
              <w:jc w:val="left"/>
              <w:rPr>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1910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24 000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79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93</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2. </w:t>
            </w:r>
            <w:proofErr w:type="gramStart"/>
            <w:r>
              <w:rPr>
                <w:b/>
                <w:bCs/>
                <w:sz w:val="16"/>
                <w:szCs w:val="16"/>
              </w:rPr>
              <w:t>Fluorit  (</w:t>
            </w:r>
            <w:proofErr w:type="gramEnd"/>
            <w:r>
              <w:rPr>
                <w:b/>
                <w:bCs/>
                <w:sz w:val="16"/>
                <w:szCs w:val="16"/>
              </w:rPr>
              <w:t>CaF</w:t>
            </w:r>
            <w:r>
              <w:rPr>
                <w:b/>
                <w:bCs/>
                <w:sz w:val="16"/>
                <w:szCs w:val="16"/>
                <w:vertAlign w:val="subscript"/>
              </w:rPr>
              <w:t>2</w:t>
            </w:r>
            <w:r>
              <w:rPr>
                <w:b/>
                <w:bCs/>
                <w:sz w:val="16"/>
                <w:szCs w:val="16"/>
              </w:rPr>
              <w:t>)</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Olyan fluorit (CaF</w:t>
            </w:r>
            <w:r>
              <w:rPr>
                <w:sz w:val="16"/>
                <w:szCs w:val="16"/>
                <w:vertAlign w:val="subscript"/>
              </w:rPr>
              <w:t>2</w:t>
            </w:r>
            <w:r>
              <w:rPr>
                <w:sz w:val="16"/>
                <w:szCs w:val="16"/>
              </w:rPr>
              <w:t xml:space="preserve">) tartalmú nyersanyag, amelynek fluorit ásvány tartalma eléri vagy meghaladja a 40%-ot. </w:t>
            </w:r>
          </w:p>
        </w:tc>
        <w:tc>
          <w:tcPr>
            <w:tcW w:w="1417" w:type="dxa"/>
            <w:tcBorders>
              <w:top w:val="single" w:sz="4" w:space="0" w:color="auto"/>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c>
          <w:tcPr>
            <w:tcW w:w="2268" w:type="dxa"/>
            <w:tcBorders>
              <w:top w:val="single" w:sz="4" w:space="0" w:color="auto"/>
              <w:left w:val="nil"/>
              <w:bottom w:val="single" w:sz="4" w:space="0" w:color="auto"/>
              <w:right w:val="single" w:sz="4" w:space="0" w:color="auto"/>
            </w:tcBorders>
            <w:vAlign w:val="bottom"/>
          </w:tcPr>
          <w:p w:rsidR="00153F2F" w:rsidRDefault="00153F2F">
            <w:pPr>
              <w:widowControl w:val="0"/>
              <w:spacing w:after="0"/>
              <w:ind w:firstLine="0"/>
              <w:jc w:val="left"/>
              <w:rPr>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1920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30 000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79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94</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3. Gipsz (CaSO</w:t>
            </w:r>
            <w:r>
              <w:rPr>
                <w:b/>
                <w:bCs/>
                <w:sz w:val="16"/>
                <w:szCs w:val="16"/>
                <w:vertAlign w:val="subscript"/>
              </w:rPr>
              <w:t>4</w:t>
            </w:r>
            <w:r>
              <w:rPr>
                <w:b/>
                <w:bCs/>
                <w:sz w:val="16"/>
                <w:szCs w:val="16"/>
              </w:rPr>
              <w:t>x2H</w:t>
            </w:r>
            <w:r>
              <w:rPr>
                <w:b/>
                <w:bCs/>
                <w:sz w:val="16"/>
                <w:szCs w:val="16"/>
                <w:vertAlign w:val="subscript"/>
              </w:rPr>
              <w:t>2</w:t>
            </w:r>
            <w:r>
              <w:rPr>
                <w:b/>
                <w:bCs/>
                <w:sz w:val="16"/>
                <w:szCs w:val="16"/>
              </w:rPr>
              <w:t>O)</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Olyan gipsz (CaSO</w:t>
            </w:r>
            <w:r>
              <w:rPr>
                <w:sz w:val="16"/>
                <w:szCs w:val="16"/>
                <w:vertAlign w:val="subscript"/>
              </w:rPr>
              <w:t>4</w:t>
            </w:r>
            <w:r>
              <w:rPr>
                <w:sz w:val="16"/>
                <w:szCs w:val="16"/>
              </w:rPr>
              <w:t>x2H</w:t>
            </w:r>
            <w:r>
              <w:rPr>
                <w:sz w:val="16"/>
                <w:szCs w:val="16"/>
                <w:vertAlign w:val="subscript"/>
              </w:rPr>
              <w:t>2</w:t>
            </w:r>
            <w:r>
              <w:rPr>
                <w:sz w:val="16"/>
                <w:szCs w:val="16"/>
              </w:rPr>
              <w:t xml:space="preserve">O) ásvány tartalmú nyersanyag, amelynek a gipsz tartalma eléri vagy meghaladja a 60%-ot.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1930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4200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4800 Gipsz</w:t>
            </w:r>
          </w:p>
        </w:tc>
      </w:tr>
      <w:tr w:rsidR="00153F2F">
        <w:trPr>
          <w:cantSplit/>
          <w:trHeight w:val="79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95</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4. </w:t>
            </w:r>
            <w:proofErr w:type="spellStart"/>
            <w:r>
              <w:rPr>
                <w:b/>
                <w:bCs/>
                <w:sz w:val="16"/>
                <w:szCs w:val="16"/>
              </w:rPr>
              <w:t>Anhidrit</w:t>
            </w:r>
            <w:proofErr w:type="spellEnd"/>
            <w:r>
              <w:rPr>
                <w:b/>
                <w:bCs/>
                <w:sz w:val="16"/>
                <w:szCs w:val="16"/>
              </w:rPr>
              <w:br/>
              <w:t>(</w:t>
            </w:r>
            <w:proofErr w:type="gramStart"/>
            <w:r>
              <w:rPr>
                <w:b/>
                <w:bCs/>
                <w:sz w:val="16"/>
                <w:szCs w:val="16"/>
              </w:rPr>
              <w:t>CaSO</w:t>
            </w:r>
            <w:r>
              <w:rPr>
                <w:b/>
                <w:bCs/>
                <w:sz w:val="16"/>
                <w:szCs w:val="16"/>
                <w:vertAlign w:val="subscript"/>
              </w:rPr>
              <w:t>4</w:t>
            </w:r>
            <w:r>
              <w:rPr>
                <w:b/>
                <w:bCs/>
                <w:sz w:val="16"/>
                <w:szCs w:val="16"/>
              </w:rPr>
              <w:t xml:space="preserve"> )</w:t>
            </w:r>
            <w:proofErr w:type="gramEnd"/>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w:t>
            </w:r>
            <w:proofErr w:type="spellStart"/>
            <w:r>
              <w:rPr>
                <w:sz w:val="16"/>
                <w:szCs w:val="16"/>
              </w:rPr>
              <w:t>anhidrit</w:t>
            </w:r>
            <w:proofErr w:type="spellEnd"/>
            <w:r>
              <w:rPr>
                <w:sz w:val="16"/>
                <w:szCs w:val="16"/>
              </w:rPr>
              <w:t xml:space="preserve"> (CaSO</w:t>
            </w:r>
            <w:r>
              <w:rPr>
                <w:sz w:val="16"/>
                <w:szCs w:val="16"/>
                <w:vertAlign w:val="subscript"/>
              </w:rPr>
              <w:t>4</w:t>
            </w:r>
            <w:r>
              <w:rPr>
                <w:sz w:val="16"/>
                <w:szCs w:val="16"/>
              </w:rPr>
              <w:t xml:space="preserve">) ásvány tartalmú nyersanyag, amelynek </w:t>
            </w:r>
            <w:proofErr w:type="spellStart"/>
            <w:r>
              <w:rPr>
                <w:sz w:val="16"/>
                <w:szCs w:val="16"/>
              </w:rPr>
              <w:t>anhidrit</w:t>
            </w:r>
            <w:proofErr w:type="spellEnd"/>
            <w:r>
              <w:rPr>
                <w:sz w:val="16"/>
                <w:szCs w:val="16"/>
              </w:rPr>
              <w:t xml:space="preserve"> tartalma eléri vagy meghaladja a 60%-ot.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1940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bottom"/>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150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96</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5. Gipsz tartalmú </w:t>
            </w:r>
            <w:proofErr w:type="spellStart"/>
            <w:r>
              <w:rPr>
                <w:b/>
                <w:bCs/>
                <w:sz w:val="16"/>
                <w:szCs w:val="16"/>
              </w:rPr>
              <w:t>anhidrit</w:t>
            </w:r>
            <w:proofErr w:type="spellEnd"/>
            <w:r>
              <w:rPr>
                <w:b/>
                <w:bCs/>
                <w:sz w:val="16"/>
                <w:szCs w:val="16"/>
              </w:rPr>
              <w:t xml:space="preserve"> - </w:t>
            </w:r>
            <w:r>
              <w:rPr>
                <w:b/>
                <w:bCs/>
                <w:sz w:val="16"/>
                <w:szCs w:val="16"/>
              </w:rPr>
              <w:br/>
            </w:r>
            <w:proofErr w:type="spellStart"/>
            <w:r>
              <w:rPr>
                <w:b/>
                <w:bCs/>
                <w:sz w:val="16"/>
                <w:szCs w:val="16"/>
              </w:rPr>
              <w:t>anhidrit</w:t>
            </w:r>
            <w:proofErr w:type="spellEnd"/>
            <w:r>
              <w:rPr>
                <w:b/>
                <w:bCs/>
                <w:sz w:val="16"/>
                <w:szCs w:val="16"/>
              </w:rPr>
              <w:t xml:space="preserve"> tartalmú gipsz</w:t>
            </w:r>
          </w:p>
        </w:tc>
        <w:tc>
          <w:tcPr>
            <w:tcW w:w="3119"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Olyan gipsz (CaSO</w:t>
            </w:r>
            <w:r>
              <w:rPr>
                <w:sz w:val="16"/>
                <w:szCs w:val="16"/>
                <w:vertAlign w:val="subscript"/>
              </w:rPr>
              <w:t>4</w:t>
            </w:r>
            <w:r>
              <w:rPr>
                <w:sz w:val="16"/>
                <w:szCs w:val="16"/>
              </w:rPr>
              <w:t>x2H</w:t>
            </w:r>
            <w:r>
              <w:rPr>
                <w:sz w:val="16"/>
                <w:szCs w:val="16"/>
                <w:vertAlign w:val="subscript"/>
              </w:rPr>
              <w:t>2</w:t>
            </w:r>
            <w:r>
              <w:rPr>
                <w:sz w:val="16"/>
                <w:szCs w:val="16"/>
              </w:rPr>
              <w:t xml:space="preserve">O) és </w:t>
            </w:r>
            <w:proofErr w:type="spellStart"/>
            <w:r>
              <w:rPr>
                <w:sz w:val="16"/>
                <w:szCs w:val="16"/>
              </w:rPr>
              <w:t>anhidrit</w:t>
            </w:r>
            <w:proofErr w:type="spellEnd"/>
            <w:r>
              <w:rPr>
                <w:sz w:val="16"/>
                <w:szCs w:val="16"/>
              </w:rPr>
              <w:t xml:space="preserve"> (CaSO</w:t>
            </w:r>
            <w:r>
              <w:rPr>
                <w:sz w:val="16"/>
                <w:szCs w:val="16"/>
                <w:vertAlign w:val="subscript"/>
              </w:rPr>
              <w:t>4</w:t>
            </w:r>
            <w:r>
              <w:rPr>
                <w:sz w:val="16"/>
                <w:szCs w:val="16"/>
              </w:rPr>
              <w:t xml:space="preserve">) ásvány tartalmú nyersanyag, amelyben a gipsz és </w:t>
            </w:r>
            <w:proofErr w:type="spellStart"/>
            <w:r>
              <w:rPr>
                <w:sz w:val="16"/>
                <w:szCs w:val="16"/>
              </w:rPr>
              <w:t>anhidrit</w:t>
            </w:r>
            <w:proofErr w:type="spellEnd"/>
            <w:r>
              <w:rPr>
                <w:sz w:val="16"/>
                <w:szCs w:val="16"/>
              </w:rPr>
              <w:t xml:space="preserve"> együttes tartalom eléri, vagy meghaladja a 60%-ot.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709"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1950</w:t>
            </w:r>
          </w:p>
        </w:tc>
        <w:tc>
          <w:tcPr>
            <w:tcW w:w="1701"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2000</w:t>
            </w:r>
          </w:p>
        </w:tc>
        <w:tc>
          <w:tcPr>
            <w:tcW w:w="850"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r>
      <w:tr w:rsidR="00153F2F">
        <w:trPr>
          <w:cantSplit/>
          <w:trHeight w:val="51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97</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6. Timsók</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Szulfátokban (</w:t>
            </w:r>
            <w:proofErr w:type="spellStart"/>
            <w:r>
              <w:rPr>
                <w:sz w:val="16"/>
                <w:szCs w:val="16"/>
              </w:rPr>
              <w:t>linarit-alunit</w:t>
            </w:r>
            <w:proofErr w:type="spellEnd"/>
            <w:r>
              <w:rPr>
                <w:sz w:val="16"/>
                <w:szCs w:val="16"/>
              </w:rPr>
              <w:t xml:space="preserve"> félék) gazdag, különböző mértékű kőzet-átalakulási termékek.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1960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5 000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6900 </w:t>
            </w:r>
            <w:proofErr w:type="spellStart"/>
            <w:r>
              <w:rPr>
                <w:sz w:val="16"/>
                <w:szCs w:val="16"/>
              </w:rPr>
              <w:t>Termálsó</w:t>
            </w:r>
            <w:proofErr w:type="spellEnd"/>
          </w:p>
        </w:tc>
      </w:tr>
      <w:tr w:rsidR="00153F2F">
        <w:trPr>
          <w:cantSplit/>
          <w:trHeight w:val="184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98</w:t>
            </w:r>
          </w:p>
        </w:tc>
        <w:tc>
          <w:tcPr>
            <w:tcW w:w="1701" w:type="dxa"/>
            <w:vMerge w:val="restart"/>
            <w:tcBorders>
              <w:top w:val="nil"/>
              <w:left w:val="single" w:sz="4" w:space="0" w:color="auto"/>
              <w:bottom w:val="nil"/>
              <w:right w:val="single" w:sz="4" w:space="0" w:color="auto"/>
            </w:tcBorders>
            <w:vAlign w:val="center"/>
          </w:tcPr>
          <w:p w:rsidR="00153F2F" w:rsidRDefault="00604D51">
            <w:pPr>
              <w:widowControl w:val="0"/>
              <w:spacing w:after="0"/>
              <w:ind w:firstLine="0"/>
              <w:jc w:val="left"/>
              <w:rPr>
                <w:sz w:val="16"/>
                <w:szCs w:val="16"/>
              </w:rPr>
            </w:pPr>
            <w:r>
              <w:rPr>
                <w:b/>
                <w:bCs/>
                <w:sz w:val="16"/>
                <w:szCs w:val="16"/>
              </w:rPr>
              <w:t>11. Kőszenek</w:t>
            </w:r>
            <w:r>
              <w:rPr>
                <w:sz w:val="16"/>
                <w:szCs w:val="16"/>
              </w:rPr>
              <w:t xml:space="preserve"> Növények levegőtől elzárt bomlásával, a betemetődést kővető hő és nyomás hatására keletkezett, éghető üledékes kőzet. </w:t>
            </w: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1. Feketekőszén </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sz w:val="16"/>
                <w:szCs w:val="16"/>
              </w:rPr>
              <w:t xml:space="preserve">Olyan közepes </w:t>
            </w:r>
            <w:proofErr w:type="spellStart"/>
            <w:r>
              <w:rPr>
                <w:sz w:val="16"/>
                <w:szCs w:val="16"/>
              </w:rPr>
              <w:t>szénültségű</w:t>
            </w:r>
            <w:proofErr w:type="spellEnd"/>
            <w:r>
              <w:rPr>
                <w:sz w:val="16"/>
                <w:szCs w:val="16"/>
              </w:rPr>
              <w:t xml:space="preserve"> kőszén – beleértve a kőszénhez </w:t>
            </w:r>
            <w:proofErr w:type="spellStart"/>
            <w:r>
              <w:rPr>
                <w:sz w:val="16"/>
                <w:szCs w:val="16"/>
              </w:rPr>
              <w:t>adszorbtíve</w:t>
            </w:r>
            <w:proofErr w:type="spellEnd"/>
            <w:r>
              <w:rPr>
                <w:sz w:val="16"/>
                <w:szCs w:val="16"/>
              </w:rPr>
              <w:t xml:space="preserve"> kötött metán (CH</w:t>
            </w:r>
            <w:r>
              <w:rPr>
                <w:sz w:val="16"/>
                <w:szCs w:val="16"/>
                <w:vertAlign w:val="subscript"/>
              </w:rPr>
              <w:t>4</w:t>
            </w:r>
            <w:r>
              <w:rPr>
                <w:sz w:val="16"/>
                <w:szCs w:val="16"/>
              </w:rPr>
              <w:t xml:space="preserve">) tartalmat is –, amelynek színe és karcolata fekete, szárazanyagra számított hamutartalma 50%-nál kisebb, </w:t>
            </w:r>
            <w:proofErr w:type="spellStart"/>
            <w:r>
              <w:rPr>
                <w:sz w:val="16"/>
                <w:szCs w:val="16"/>
              </w:rPr>
              <w:t>vitrinitreflexió</w:t>
            </w:r>
            <w:proofErr w:type="spellEnd"/>
            <w:r>
              <w:rPr>
                <w:sz w:val="16"/>
                <w:szCs w:val="16"/>
              </w:rPr>
              <w:t xml:space="preserve"> értéke 0,60%-2,00% közötti, elemi szén (karbon) tartalma 80-93 %, égéshője 24,0 MJ/kg. (</w:t>
            </w:r>
            <w:proofErr w:type="spellStart"/>
            <w:r>
              <w:rPr>
                <w:sz w:val="16"/>
                <w:szCs w:val="16"/>
              </w:rPr>
              <w:t>Q</w:t>
            </w:r>
            <w:r>
              <w:rPr>
                <w:sz w:val="16"/>
                <w:szCs w:val="16"/>
                <w:vertAlign w:val="subscript"/>
              </w:rPr>
              <w:t>s</w:t>
            </w:r>
            <w:r>
              <w:rPr>
                <w:sz w:val="16"/>
                <w:szCs w:val="16"/>
                <w:vertAlign w:val="superscript"/>
              </w:rPr>
              <w:t>daf</w:t>
            </w:r>
            <w:proofErr w:type="spellEnd"/>
            <w:r>
              <w:rPr>
                <w:sz w:val="16"/>
                <w:szCs w:val="16"/>
              </w:rPr>
              <w:t>)</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2010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12 000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900 Feketeszén</w:t>
            </w:r>
          </w:p>
        </w:tc>
      </w:tr>
      <w:tr w:rsidR="00153F2F">
        <w:trPr>
          <w:cantSplit/>
          <w:trHeight w:val="2055"/>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99</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2. Barnakőszén (</w:t>
            </w:r>
            <w:proofErr w:type="spellStart"/>
            <w:r>
              <w:rPr>
                <w:b/>
                <w:bCs/>
                <w:sz w:val="16"/>
                <w:szCs w:val="16"/>
              </w:rPr>
              <w:t>szubbitumenes</w:t>
            </w:r>
            <w:proofErr w:type="spellEnd"/>
            <w:r>
              <w:rPr>
                <w:b/>
                <w:bCs/>
                <w:sz w:val="16"/>
                <w:szCs w:val="16"/>
              </w:rPr>
              <w:t xml:space="preserve"> kőszén)</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alacsony </w:t>
            </w:r>
            <w:proofErr w:type="spellStart"/>
            <w:r>
              <w:rPr>
                <w:sz w:val="16"/>
                <w:szCs w:val="16"/>
              </w:rPr>
              <w:t>szénültségű</w:t>
            </w:r>
            <w:proofErr w:type="spellEnd"/>
            <w:r>
              <w:rPr>
                <w:sz w:val="16"/>
                <w:szCs w:val="16"/>
              </w:rPr>
              <w:t xml:space="preserve"> kőszén – beleértve a kőszénhez </w:t>
            </w:r>
            <w:proofErr w:type="spellStart"/>
            <w:r>
              <w:rPr>
                <w:sz w:val="16"/>
                <w:szCs w:val="16"/>
              </w:rPr>
              <w:t>adszorbtíve</w:t>
            </w:r>
            <w:proofErr w:type="spellEnd"/>
            <w:r>
              <w:rPr>
                <w:sz w:val="16"/>
                <w:szCs w:val="16"/>
              </w:rPr>
              <w:t xml:space="preserve"> kötött metán (CH</w:t>
            </w:r>
            <w:r>
              <w:rPr>
                <w:sz w:val="16"/>
                <w:szCs w:val="16"/>
                <w:vertAlign w:val="subscript"/>
              </w:rPr>
              <w:t>4</w:t>
            </w:r>
            <w:r>
              <w:rPr>
                <w:sz w:val="16"/>
                <w:szCs w:val="16"/>
              </w:rPr>
              <w:t xml:space="preserve">) tartalmat is –, amelynek színe fekete, vagy barna, karcolata barna. Szárazanyagra számított hamutartalma 50%-nál kisebb, </w:t>
            </w:r>
            <w:proofErr w:type="spellStart"/>
            <w:r>
              <w:rPr>
                <w:sz w:val="16"/>
                <w:szCs w:val="16"/>
              </w:rPr>
              <w:t>vitrinitreflexió</w:t>
            </w:r>
            <w:proofErr w:type="spellEnd"/>
            <w:r>
              <w:rPr>
                <w:sz w:val="16"/>
                <w:szCs w:val="16"/>
              </w:rPr>
              <w:t xml:space="preserve"> értéke 0,30-0,60% közötti, elemi szén (karbon) tartalma 65-80%, égéshője 16,0-24,0 MJ/kg. (</w:t>
            </w:r>
            <w:proofErr w:type="spellStart"/>
            <w:r>
              <w:rPr>
                <w:sz w:val="16"/>
                <w:szCs w:val="16"/>
              </w:rPr>
              <w:t>Q</w:t>
            </w:r>
            <w:r>
              <w:rPr>
                <w:sz w:val="16"/>
                <w:szCs w:val="16"/>
                <w:vertAlign w:val="subscript"/>
              </w:rPr>
              <w:t>s</w:t>
            </w:r>
            <w:r>
              <w:rPr>
                <w:sz w:val="16"/>
                <w:szCs w:val="16"/>
                <w:vertAlign w:val="superscript"/>
              </w:rPr>
              <w:t>daf</w:t>
            </w:r>
            <w:proofErr w:type="spellEnd"/>
            <w:r>
              <w:rPr>
                <w:sz w:val="16"/>
                <w:szCs w:val="16"/>
              </w:rPr>
              <w:t>)</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2020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11 000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900 Barnaszén</w:t>
            </w:r>
          </w:p>
          <w:p w:rsidR="00153F2F" w:rsidRDefault="00604D51">
            <w:pPr>
              <w:widowControl w:val="0"/>
              <w:spacing w:after="0"/>
              <w:ind w:firstLine="0"/>
              <w:jc w:val="left"/>
              <w:rPr>
                <w:sz w:val="16"/>
                <w:szCs w:val="16"/>
              </w:rPr>
            </w:pPr>
            <w:r>
              <w:rPr>
                <w:sz w:val="16"/>
                <w:szCs w:val="16"/>
              </w:rPr>
              <w:t>a Borsodi és Nógrádi medence kőszenei kivételével</w:t>
            </w:r>
          </w:p>
        </w:tc>
      </w:tr>
      <w:tr w:rsidR="00153F2F">
        <w:trPr>
          <w:cantSplit/>
          <w:trHeight w:val="2160"/>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100</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3. Lignit </w:t>
            </w:r>
          </w:p>
        </w:tc>
        <w:tc>
          <w:tcPr>
            <w:tcW w:w="3119"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alacsony </w:t>
            </w:r>
            <w:proofErr w:type="spellStart"/>
            <w:r>
              <w:rPr>
                <w:sz w:val="16"/>
                <w:szCs w:val="16"/>
              </w:rPr>
              <w:t>szénültségű</w:t>
            </w:r>
            <w:proofErr w:type="spellEnd"/>
            <w:r>
              <w:rPr>
                <w:sz w:val="16"/>
                <w:szCs w:val="16"/>
              </w:rPr>
              <w:t xml:space="preserve"> kőszén – beleértve a kőszénhez </w:t>
            </w:r>
            <w:proofErr w:type="spellStart"/>
            <w:r>
              <w:rPr>
                <w:sz w:val="16"/>
                <w:szCs w:val="16"/>
              </w:rPr>
              <w:t>adszorbtíve</w:t>
            </w:r>
            <w:proofErr w:type="spellEnd"/>
            <w:r>
              <w:rPr>
                <w:sz w:val="16"/>
                <w:szCs w:val="16"/>
              </w:rPr>
              <w:t xml:space="preserve"> kötött metán (CH</w:t>
            </w:r>
            <w:r>
              <w:rPr>
                <w:sz w:val="16"/>
                <w:szCs w:val="16"/>
                <w:vertAlign w:val="subscript"/>
              </w:rPr>
              <w:t>4</w:t>
            </w:r>
            <w:r>
              <w:rPr>
                <w:sz w:val="16"/>
                <w:szCs w:val="16"/>
              </w:rPr>
              <w:t>) tartalmat is –, amelynek színe világosbarnától a feketéig változhat a típustól függően, felismerhetők a növényi maradványok. Szárazanyagra számított hamutartalma (A</w:t>
            </w:r>
            <w:r>
              <w:rPr>
                <w:sz w:val="16"/>
                <w:szCs w:val="16"/>
                <w:vertAlign w:val="superscript"/>
              </w:rPr>
              <w:t>d</w:t>
            </w:r>
            <w:r>
              <w:rPr>
                <w:sz w:val="16"/>
                <w:szCs w:val="16"/>
              </w:rPr>
              <w:t>) 50%-nál kisebb, elemi szén (karbon) tartalma (</w:t>
            </w:r>
            <w:proofErr w:type="spellStart"/>
            <w:r>
              <w:rPr>
                <w:sz w:val="16"/>
                <w:szCs w:val="16"/>
              </w:rPr>
              <w:t>C</w:t>
            </w:r>
            <w:r>
              <w:rPr>
                <w:sz w:val="16"/>
                <w:szCs w:val="16"/>
                <w:vertAlign w:val="subscript"/>
              </w:rPr>
              <w:t>t</w:t>
            </w:r>
            <w:r>
              <w:rPr>
                <w:sz w:val="16"/>
                <w:szCs w:val="16"/>
                <w:vertAlign w:val="superscript"/>
              </w:rPr>
              <w:t>d</w:t>
            </w:r>
            <w:proofErr w:type="spellEnd"/>
            <w:proofErr w:type="gramStart"/>
            <w:r>
              <w:rPr>
                <w:sz w:val="16"/>
                <w:szCs w:val="16"/>
              </w:rPr>
              <w:t>)35-50</w:t>
            </w:r>
            <w:proofErr w:type="gramEnd"/>
            <w:r>
              <w:rPr>
                <w:sz w:val="16"/>
                <w:szCs w:val="16"/>
              </w:rPr>
              <w:t>%, összes nedvességtartalma (</w:t>
            </w:r>
            <w:proofErr w:type="spellStart"/>
            <w:r>
              <w:rPr>
                <w:sz w:val="16"/>
                <w:szCs w:val="16"/>
              </w:rPr>
              <w:t>W</w:t>
            </w:r>
            <w:r>
              <w:rPr>
                <w:sz w:val="16"/>
                <w:szCs w:val="16"/>
                <w:vertAlign w:val="subscript"/>
              </w:rPr>
              <w:t>t</w:t>
            </w:r>
            <w:r>
              <w:rPr>
                <w:sz w:val="16"/>
                <w:szCs w:val="16"/>
                <w:vertAlign w:val="superscript"/>
              </w:rPr>
              <w:t>r</w:t>
            </w:r>
            <w:proofErr w:type="spellEnd"/>
            <w:r>
              <w:rPr>
                <w:sz w:val="16"/>
                <w:szCs w:val="16"/>
              </w:rPr>
              <w:t>) kisebb, mint 35% és égéshője (</w:t>
            </w:r>
            <w:proofErr w:type="spellStart"/>
            <w:r>
              <w:rPr>
                <w:sz w:val="16"/>
                <w:szCs w:val="16"/>
              </w:rPr>
              <w:t>Q</w:t>
            </w:r>
            <w:r>
              <w:rPr>
                <w:sz w:val="16"/>
                <w:szCs w:val="16"/>
                <w:vertAlign w:val="subscript"/>
              </w:rPr>
              <w:t>s</w:t>
            </w:r>
            <w:r>
              <w:rPr>
                <w:sz w:val="16"/>
                <w:szCs w:val="16"/>
                <w:vertAlign w:val="superscript"/>
              </w:rPr>
              <w:t>d</w:t>
            </w:r>
            <w:proofErr w:type="spellEnd"/>
            <w:r>
              <w:rPr>
                <w:sz w:val="16"/>
                <w:szCs w:val="16"/>
              </w:rPr>
              <w:t xml:space="preserve">)14-16 MJ/kg. </w:t>
            </w:r>
          </w:p>
        </w:tc>
        <w:tc>
          <w:tcPr>
            <w:tcW w:w="1417" w:type="dxa"/>
            <w:tcBorders>
              <w:top w:val="single" w:sz="4" w:space="0" w:color="auto"/>
              <w:left w:val="nil"/>
              <w:bottom w:val="single" w:sz="4" w:space="0" w:color="auto"/>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 xml:space="preserve"> </w:t>
            </w:r>
          </w:p>
        </w:tc>
        <w:tc>
          <w:tcPr>
            <w:tcW w:w="2268" w:type="dxa"/>
            <w:tcBorders>
              <w:top w:val="single" w:sz="4" w:space="0" w:color="auto"/>
              <w:left w:val="nil"/>
              <w:bottom w:val="single" w:sz="4" w:space="0" w:color="auto"/>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2030</w:t>
            </w:r>
          </w:p>
        </w:tc>
        <w:tc>
          <w:tcPr>
            <w:tcW w:w="1701"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8000</w:t>
            </w:r>
          </w:p>
        </w:tc>
        <w:tc>
          <w:tcPr>
            <w:tcW w:w="850" w:type="dxa"/>
            <w:tcBorders>
              <w:top w:val="nil"/>
              <w:left w:val="nil"/>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900 Barnaszén</w:t>
            </w:r>
          </w:p>
          <w:p w:rsidR="00153F2F" w:rsidRDefault="00604D51">
            <w:pPr>
              <w:widowControl w:val="0"/>
              <w:spacing w:after="0"/>
              <w:ind w:firstLine="0"/>
              <w:jc w:val="left"/>
              <w:rPr>
                <w:sz w:val="16"/>
                <w:szCs w:val="16"/>
              </w:rPr>
            </w:pPr>
            <w:r>
              <w:rPr>
                <w:sz w:val="16"/>
                <w:szCs w:val="16"/>
              </w:rPr>
              <w:t>a Borsodi és Nógrádi medence kőszenei</w:t>
            </w:r>
          </w:p>
        </w:tc>
      </w:tr>
      <w:tr w:rsidR="00153F2F">
        <w:trPr>
          <w:cantSplit/>
          <w:trHeight w:val="2261"/>
        </w:trPr>
        <w:tc>
          <w:tcPr>
            <w:tcW w:w="638" w:type="dxa"/>
            <w:tcBorders>
              <w:top w:val="nil"/>
              <w:left w:val="single" w:sz="4" w:space="0" w:color="auto"/>
              <w:bottom w:val="nil"/>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101</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nil"/>
              <w:bottom w:val="nil"/>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4. Lignit II. (</w:t>
            </w:r>
            <w:proofErr w:type="spellStart"/>
            <w:r>
              <w:rPr>
                <w:b/>
                <w:bCs/>
                <w:sz w:val="16"/>
                <w:szCs w:val="16"/>
              </w:rPr>
              <w:t>ortho-lignit</w:t>
            </w:r>
            <w:proofErr w:type="spellEnd"/>
            <w:r>
              <w:rPr>
                <w:b/>
                <w:bCs/>
                <w:sz w:val="16"/>
                <w:szCs w:val="16"/>
              </w:rPr>
              <w:t>)</w:t>
            </w:r>
          </w:p>
        </w:tc>
        <w:tc>
          <w:tcPr>
            <w:tcW w:w="3119" w:type="dxa"/>
            <w:tcBorders>
              <w:top w:val="nil"/>
              <w:left w:val="nil"/>
              <w:bottom w:val="nil"/>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alacsony </w:t>
            </w:r>
            <w:proofErr w:type="spellStart"/>
            <w:r>
              <w:rPr>
                <w:sz w:val="16"/>
                <w:szCs w:val="16"/>
              </w:rPr>
              <w:t>szénültségű</w:t>
            </w:r>
            <w:proofErr w:type="spellEnd"/>
            <w:r>
              <w:rPr>
                <w:sz w:val="16"/>
                <w:szCs w:val="16"/>
              </w:rPr>
              <w:t xml:space="preserve"> kőszén – beleértve a kőszénhez </w:t>
            </w:r>
            <w:proofErr w:type="spellStart"/>
            <w:r>
              <w:rPr>
                <w:sz w:val="16"/>
                <w:szCs w:val="16"/>
              </w:rPr>
              <w:t>adszorbtíve</w:t>
            </w:r>
            <w:proofErr w:type="spellEnd"/>
            <w:r>
              <w:rPr>
                <w:sz w:val="16"/>
                <w:szCs w:val="16"/>
              </w:rPr>
              <w:t xml:space="preserve"> kötött metán (CH</w:t>
            </w:r>
            <w:r>
              <w:rPr>
                <w:sz w:val="16"/>
                <w:szCs w:val="16"/>
                <w:vertAlign w:val="subscript"/>
              </w:rPr>
              <w:t>4</w:t>
            </w:r>
            <w:r>
              <w:rPr>
                <w:sz w:val="16"/>
                <w:szCs w:val="16"/>
              </w:rPr>
              <w:t>) tartalmat is –, amelynek színe világosbarnától a feketéig változhat a típustól függően, felismerhetők a növényi maradványok. Szárazanyagra számított hamutartalma (A</w:t>
            </w:r>
            <w:r>
              <w:rPr>
                <w:sz w:val="16"/>
                <w:szCs w:val="16"/>
                <w:vertAlign w:val="superscript"/>
              </w:rPr>
              <w:t>d</w:t>
            </w:r>
            <w:r>
              <w:rPr>
                <w:sz w:val="16"/>
                <w:szCs w:val="16"/>
              </w:rPr>
              <w:t>) 50%-nál kisebb, elemi szén (karbon) tartalma (</w:t>
            </w:r>
            <w:proofErr w:type="spellStart"/>
            <w:r>
              <w:rPr>
                <w:sz w:val="16"/>
                <w:szCs w:val="16"/>
              </w:rPr>
              <w:t>C</w:t>
            </w:r>
            <w:r>
              <w:rPr>
                <w:sz w:val="16"/>
                <w:szCs w:val="16"/>
                <w:vertAlign w:val="subscript"/>
              </w:rPr>
              <w:t>t</w:t>
            </w:r>
            <w:r>
              <w:rPr>
                <w:sz w:val="16"/>
                <w:szCs w:val="16"/>
                <w:vertAlign w:val="superscript"/>
              </w:rPr>
              <w:t>d</w:t>
            </w:r>
            <w:proofErr w:type="spellEnd"/>
            <w:proofErr w:type="gramStart"/>
            <w:r>
              <w:rPr>
                <w:sz w:val="16"/>
                <w:szCs w:val="16"/>
              </w:rPr>
              <w:t>)35-50</w:t>
            </w:r>
            <w:proofErr w:type="gramEnd"/>
            <w:r>
              <w:rPr>
                <w:sz w:val="16"/>
                <w:szCs w:val="16"/>
              </w:rPr>
              <w:t>%, összes nedvességtartalma (</w:t>
            </w:r>
            <w:proofErr w:type="spellStart"/>
            <w:r>
              <w:rPr>
                <w:sz w:val="16"/>
                <w:szCs w:val="16"/>
              </w:rPr>
              <w:t>W</w:t>
            </w:r>
            <w:r>
              <w:rPr>
                <w:sz w:val="16"/>
                <w:szCs w:val="16"/>
                <w:vertAlign w:val="subscript"/>
              </w:rPr>
              <w:t>t</w:t>
            </w:r>
            <w:r>
              <w:rPr>
                <w:sz w:val="16"/>
                <w:szCs w:val="16"/>
                <w:vertAlign w:val="superscript"/>
              </w:rPr>
              <w:t>r</w:t>
            </w:r>
            <w:proofErr w:type="spellEnd"/>
            <w:r>
              <w:rPr>
                <w:sz w:val="16"/>
                <w:szCs w:val="16"/>
              </w:rPr>
              <w:t>) 35%-nál nagyobb és égéshője (</w:t>
            </w:r>
            <w:proofErr w:type="spellStart"/>
            <w:r>
              <w:rPr>
                <w:sz w:val="16"/>
                <w:szCs w:val="16"/>
              </w:rPr>
              <w:t>Q</w:t>
            </w:r>
            <w:r>
              <w:rPr>
                <w:sz w:val="16"/>
                <w:szCs w:val="16"/>
                <w:vertAlign w:val="subscript"/>
              </w:rPr>
              <w:t>s</w:t>
            </w:r>
            <w:r>
              <w:rPr>
                <w:sz w:val="16"/>
                <w:szCs w:val="16"/>
                <w:vertAlign w:val="superscript"/>
              </w:rPr>
              <w:t>d</w:t>
            </w:r>
            <w:proofErr w:type="spellEnd"/>
            <w:r>
              <w:rPr>
                <w:sz w:val="16"/>
                <w:szCs w:val="16"/>
              </w:rPr>
              <w:t xml:space="preserve">) kisebb, mint14,0 MJ/kg. </w:t>
            </w:r>
          </w:p>
        </w:tc>
        <w:tc>
          <w:tcPr>
            <w:tcW w:w="1417" w:type="dxa"/>
            <w:tcBorders>
              <w:top w:val="single" w:sz="4" w:space="0" w:color="auto"/>
              <w:left w:val="nil"/>
              <w:bottom w:val="nil"/>
              <w:right w:val="single" w:sz="4" w:space="0" w:color="auto"/>
            </w:tcBorders>
            <w:vAlign w:val="center"/>
          </w:tcPr>
          <w:p w:rsidR="00153F2F" w:rsidRDefault="00153F2F">
            <w:pPr>
              <w:widowControl w:val="0"/>
              <w:spacing w:after="0"/>
              <w:ind w:firstLine="0"/>
              <w:jc w:val="left"/>
              <w:rPr>
                <w:b/>
                <w:bCs/>
                <w:sz w:val="16"/>
                <w:szCs w:val="16"/>
              </w:rPr>
            </w:pPr>
          </w:p>
        </w:tc>
        <w:tc>
          <w:tcPr>
            <w:tcW w:w="2268" w:type="dxa"/>
            <w:tcBorders>
              <w:top w:val="single" w:sz="4" w:space="0" w:color="auto"/>
              <w:left w:val="nil"/>
              <w:bottom w:val="nil"/>
              <w:right w:val="single" w:sz="4" w:space="0" w:color="auto"/>
            </w:tcBorders>
            <w:vAlign w:val="center"/>
          </w:tcPr>
          <w:p w:rsidR="00153F2F" w:rsidRDefault="00153F2F">
            <w:pPr>
              <w:widowControl w:val="0"/>
              <w:spacing w:after="0"/>
              <w:ind w:firstLine="0"/>
              <w:jc w:val="left"/>
              <w:rPr>
                <w:b/>
                <w:bCs/>
                <w:sz w:val="16"/>
                <w:szCs w:val="16"/>
              </w:rPr>
            </w:pPr>
          </w:p>
        </w:tc>
        <w:tc>
          <w:tcPr>
            <w:tcW w:w="709" w:type="dxa"/>
            <w:tcBorders>
              <w:top w:val="nil"/>
              <w:left w:val="nil"/>
              <w:bottom w:val="nil"/>
              <w:right w:val="single" w:sz="4" w:space="0" w:color="auto"/>
            </w:tcBorders>
            <w:vAlign w:val="center"/>
          </w:tcPr>
          <w:p w:rsidR="00153F2F" w:rsidRDefault="00604D51">
            <w:pPr>
              <w:widowControl w:val="0"/>
              <w:spacing w:after="0"/>
              <w:ind w:firstLine="0"/>
              <w:jc w:val="center"/>
              <w:rPr>
                <w:sz w:val="16"/>
                <w:szCs w:val="16"/>
              </w:rPr>
            </w:pPr>
            <w:r>
              <w:rPr>
                <w:sz w:val="16"/>
                <w:szCs w:val="16"/>
              </w:rPr>
              <w:t>2040</w:t>
            </w:r>
          </w:p>
        </w:tc>
        <w:tc>
          <w:tcPr>
            <w:tcW w:w="1701" w:type="dxa"/>
            <w:tcBorders>
              <w:top w:val="nil"/>
              <w:left w:val="nil"/>
              <w:bottom w:val="nil"/>
              <w:right w:val="single" w:sz="4" w:space="0" w:color="auto"/>
            </w:tcBorders>
            <w:vAlign w:val="center"/>
          </w:tcPr>
          <w:p w:rsidR="00153F2F" w:rsidRDefault="00604D51">
            <w:pPr>
              <w:widowControl w:val="0"/>
              <w:spacing w:after="0"/>
              <w:ind w:firstLine="0"/>
              <w:jc w:val="center"/>
              <w:rPr>
                <w:sz w:val="16"/>
                <w:szCs w:val="16"/>
              </w:rPr>
            </w:pPr>
            <w:r>
              <w:rPr>
                <w:sz w:val="16"/>
                <w:szCs w:val="16"/>
              </w:rPr>
              <w:t>5400</w:t>
            </w:r>
          </w:p>
        </w:tc>
        <w:tc>
          <w:tcPr>
            <w:tcW w:w="850" w:type="dxa"/>
            <w:tcBorders>
              <w:top w:val="nil"/>
              <w:left w:val="nil"/>
              <w:bottom w:val="nil"/>
              <w:right w:val="single" w:sz="4" w:space="0" w:color="auto"/>
            </w:tcBorders>
            <w:vAlign w:val="center"/>
          </w:tcPr>
          <w:p w:rsidR="00153F2F" w:rsidRDefault="00604D51">
            <w:pPr>
              <w:widowControl w:val="0"/>
              <w:spacing w:after="0"/>
              <w:ind w:firstLine="0"/>
              <w:jc w:val="center"/>
              <w:rPr>
                <w:sz w:val="16"/>
                <w:szCs w:val="16"/>
              </w:rPr>
            </w:pPr>
            <w:r>
              <w:rPr>
                <w:sz w:val="16"/>
                <w:szCs w:val="16"/>
              </w:rPr>
              <w:t>Ft/m</w:t>
            </w:r>
            <w:r>
              <w:rPr>
                <w:sz w:val="16"/>
                <w:szCs w:val="16"/>
                <w:vertAlign w:val="superscript"/>
              </w:rPr>
              <w:t>3</w:t>
            </w:r>
          </w:p>
        </w:tc>
        <w:tc>
          <w:tcPr>
            <w:tcW w:w="1418" w:type="dxa"/>
            <w:tcBorders>
              <w:top w:val="nil"/>
              <w:left w:val="nil"/>
              <w:bottom w:val="nil"/>
              <w:right w:val="single" w:sz="4" w:space="0" w:color="auto"/>
            </w:tcBorders>
            <w:vAlign w:val="center"/>
          </w:tcPr>
          <w:p w:rsidR="00153F2F" w:rsidRDefault="00604D51">
            <w:pPr>
              <w:widowControl w:val="0"/>
              <w:spacing w:after="0"/>
              <w:ind w:firstLine="0"/>
              <w:jc w:val="left"/>
              <w:rPr>
                <w:sz w:val="16"/>
                <w:szCs w:val="16"/>
              </w:rPr>
            </w:pPr>
            <w:r>
              <w:rPr>
                <w:sz w:val="16"/>
                <w:szCs w:val="16"/>
              </w:rPr>
              <w:t>900 Lignit</w:t>
            </w:r>
          </w:p>
        </w:tc>
      </w:tr>
      <w:tr w:rsidR="00153F2F">
        <w:trPr>
          <w:cantSplit/>
          <w:trHeight w:val="6075"/>
        </w:trPr>
        <w:tc>
          <w:tcPr>
            <w:tcW w:w="638" w:type="dxa"/>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center"/>
              <w:rPr>
                <w:sz w:val="16"/>
                <w:szCs w:val="16"/>
              </w:rPr>
            </w:pPr>
            <w:r>
              <w:rPr>
                <w:sz w:val="16"/>
                <w:szCs w:val="16"/>
              </w:rPr>
              <w:t>102</w:t>
            </w:r>
          </w:p>
        </w:tc>
        <w:tc>
          <w:tcPr>
            <w:tcW w:w="1701" w:type="dxa"/>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left"/>
              <w:rPr>
                <w:sz w:val="16"/>
                <w:szCs w:val="16"/>
              </w:rPr>
            </w:pPr>
            <w:r>
              <w:rPr>
                <w:b/>
                <w:bCs/>
                <w:sz w:val="16"/>
                <w:szCs w:val="16"/>
              </w:rPr>
              <w:t>12. Szénhidrogén tartalmú nyersanyagok</w:t>
            </w:r>
          </w:p>
          <w:p w:rsidR="00153F2F" w:rsidRDefault="00604D51">
            <w:pPr>
              <w:widowControl w:val="0"/>
              <w:spacing w:after="0"/>
              <w:ind w:firstLine="0"/>
              <w:jc w:val="left"/>
              <w:rPr>
                <w:sz w:val="16"/>
                <w:szCs w:val="16"/>
              </w:rPr>
            </w:pPr>
            <w:r>
              <w:rPr>
                <w:sz w:val="16"/>
                <w:szCs w:val="16"/>
              </w:rPr>
              <w:t xml:space="preserve"> A kőolaj és a szénhidrogénföldgáz. Összefoglaló elnevezése: szénhidrogén. </w:t>
            </w:r>
          </w:p>
        </w:tc>
        <w:tc>
          <w:tcPr>
            <w:tcW w:w="1276" w:type="dxa"/>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left"/>
              <w:rPr>
                <w:b/>
                <w:bCs/>
                <w:sz w:val="16"/>
                <w:szCs w:val="16"/>
              </w:rPr>
            </w:pPr>
            <w:r>
              <w:rPr>
                <w:b/>
                <w:bCs/>
                <w:sz w:val="16"/>
                <w:szCs w:val="16"/>
              </w:rPr>
              <w:t>1. Kőolaj</w:t>
            </w:r>
          </w:p>
        </w:tc>
        <w:tc>
          <w:tcPr>
            <w:tcW w:w="3119" w:type="dxa"/>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 szénhidrogéntelep kezdeti rétegnyomáson és hőmérsékleten folyékony halmazállapotú szénhidrogének. A szénhidrogének technikai </w:t>
            </w:r>
            <w:proofErr w:type="gramStart"/>
            <w:r>
              <w:rPr>
                <w:sz w:val="16"/>
                <w:szCs w:val="16"/>
              </w:rPr>
              <w:t>normál állapoton</w:t>
            </w:r>
            <w:proofErr w:type="gramEnd"/>
            <w:r>
              <w:rPr>
                <w:sz w:val="16"/>
                <w:szCs w:val="16"/>
              </w:rPr>
              <w:t xml:space="preserve"> (15˚C, 0,1 </w:t>
            </w:r>
            <w:proofErr w:type="spellStart"/>
            <w:r>
              <w:rPr>
                <w:sz w:val="16"/>
                <w:szCs w:val="16"/>
              </w:rPr>
              <w:t>MPa</w:t>
            </w:r>
            <w:proofErr w:type="spellEnd"/>
            <w:r>
              <w:rPr>
                <w:sz w:val="16"/>
                <w:szCs w:val="16"/>
              </w:rPr>
              <w:t xml:space="preserve">) stabil (állandósított) cseppfolyós része. Általában sötétbarna, </w:t>
            </w:r>
            <w:proofErr w:type="spellStart"/>
            <w:r>
              <w:rPr>
                <w:sz w:val="16"/>
                <w:szCs w:val="16"/>
              </w:rPr>
              <w:t>barnásfekete</w:t>
            </w:r>
            <w:proofErr w:type="spellEnd"/>
            <w:r>
              <w:rPr>
                <w:sz w:val="16"/>
                <w:szCs w:val="16"/>
              </w:rPr>
              <w:t xml:space="preserve"> (zöld árnyalatú), folyékony vagy </w:t>
            </w:r>
            <w:proofErr w:type="spellStart"/>
            <w:r>
              <w:rPr>
                <w:sz w:val="16"/>
                <w:szCs w:val="16"/>
              </w:rPr>
              <w:t>félszilárd</w:t>
            </w:r>
            <w:proofErr w:type="spellEnd"/>
            <w:r>
              <w:rPr>
                <w:sz w:val="16"/>
                <w:szCs w:val="16"/>
              </w:rPr>
              <w:t xml:space="preserve"> halmazállapotú, víznél kisebb sűrűségű, viszonylag sok </w:t>
            </w:r>
            <w:proofErr w:type="gramStart"/>
            <w:r>
              <w:rPr>
                <w:sz w:val="16"/>
                <w:szCs w:val="16"/>
              </w:rPr>
              <w:t>illó anyagot</w:t>
            </w:r>
            <w:proofErr w:type="gramEnd"/>
            <w:r>
              <w:rPr>
                <w:sz w:val="16"/>
                <w:szCs w:val="16"/>
              </w:rPr>
              <w:t xml:space="preserve"> tartalmazó, főleg szénhidrogénekből álló elegy, amelyben a hidrogén és szénatomok molekulaszerkezete igen változatos. Általában található benne kén-, nitrogén-, vagy oxigén vegyület, nyomelemek és némi víz. A kőolaj tartalmazhat gázt, folyékony vagy szilárd halmazállapotú összetevőket az olaj típusától (minőségétől) illetve a nyomás és hőmérsékleti körülményektől függően. </w:t>
            </w:r>
          </w:p>
        </w:tc>
        <w:tc>
          <w:tcPr>
            <w:tcW w:w="1417" w:type="dxa"/>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 </w:t>
            </w:r>
          </w:p>
        </w:tc>
        <w:tc>
          <w:tcPr>
            <w:tcW w:w="2268" w:type="dxa"/>
            <w:tcBorders>
              <w:top w:val="single" w:sz="4" w:space="0" w:color="auto"/>
              <w:left w:val="single" w:sz="4" w:space="0" w:color="auto"/>
              <w:bottom w:val="nil"/>
              <w:right w:val="single" w:sz="4" w:space="0" w:color="auto"/>
            </w:tcBorders>
            <w:vAlign w:val="center"/>
          </w:tcPr>
          <w:p w:rsidR="00153F2F" w:rsidRDefault="00153F2F">
            <w:pPr>
              <w:widowControl w:val="0"/>
              <w:spacing w:after="0"/>
              <w:ind w:firstLine="0"/>
              <w:jc w:val="left"/>
              <w:rPr>
                <w:sz w:val="16"/>
                <w:szCs w:val="16"/>
              </w:rPr>
            </w:pPr>
          </w:p>
        </w:tc>
        <w:tc>
          <w:tcPr>
            <w:tcW w:w="709" w:type="dxa"/>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center"/>
              <w:rPr>
                <w:sz w:val="16"/>
                <w:szCs w:val="16"/>
              </w:rPr>
            </w:pPr>
            <w:r>
              <w:rPr>
                <w:sz w:val="16"/>
                <w:szCs w:val="16"/>
              </w:rPr>
              <w:t>2110</w:t>
            </w:r>
          </w:p>
        </w:tc>
        <w:tc>
          <w:tcPr>
            <w:tcW w:w="1701" w:type="dxa"/>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center"/>
              <w:rPr>
                <w:sz w:val="16"/>
                <w:szCs w:val="16"/>
              </w:rPr>
            </w:pPr>
            <w:proofErr w:type="gramStart"/>
            <w:r>
              <w:rPr>
                <w:b/>
                <w:bCs/>
                <w:sz w:val="16"/>
                <w:szCs w:val="16"/>
              </w:rPr>
              <w:t>E = 119420 * k — K</w:t>
            </w:r>
            <w:r>
              <w:rPr>
                <w:b/>
                <w:bCs/>
                <w:sz w:val="16"/>
                <w:szCs w:val="16"/>
                <w:vertAlign w:val="subscript"/>
              </w:rPr>
              <w:t>1</w:t>
            </w:r>
            <w:r>
              <w:rPr>
                <w:b/>
                <w:bCs/>
                <w:sz w:val="16"/>
                <w:szCs w:val="16"/>
              </w:rPr>
              <w:t xml:space="preserve"> * I </w:t>
            </w:r>
            <w:r>
              <w:rPr>
                <w:sz w:val="16"/>
                <w:szCs w:val="16"/>
              </w:rPr>
              <w:br/>
              <w:t>ahol</w:t>
            </w:r>
            <w:r>
              <w:rPr>
                <w:sz w:val="16"/>
                <w:szCs w:val="16"/>
              </w:rPr>
              <w:br/>
            </w:r>
            <w:r>
              <w:rPr>
                <w:b/>
                <w:bCs/>
                <w:sz w:val="16"/>
                <w:szCs w:val="16"/>
              </w:rPr>
              <w:t>E</w:t>
            </w:r>
            <w:r>
              <w:rPr>
                <w:sz w:val="16"/>
                <w:szCs w:val="16"/>
              </w:rPr>
              <w:t>= a kőolaj - bányajáradék szempontjából figyelembevett - értéke (Ft/t)</w:t>
            </w:r>
            <w:r>
              <w:rPr>
                <w:sz w:val="16"/>
                <w:szCs w:val="16"/>
              </w:rPr>
              <w:br/>
            </w:r>
            <w:r>
              <w:rPr>
                <w:b/>
                <w:bCs/>
                <w:sz w:val="16"/>
                <w:szCs w:val="16"/>
              </w:rPr>
              <w:t>k = P</w:t>
            </w:r>
            <w:r>
              <w:rPr>
                <w:b/>
                <w:bCs/>
                <w:sz w:val="16"/>
                <w:szCs w:val="16"/>
                <w:vertAlign w:val="subscript"/>
              </w:rPr>
              <w:t>1</w:t>
            </w:r>
            <w:r>
              <w:rPr>
                <w:b/>
                <w:bCs/>
                <w:sz w:val="16"/>
                <w:szCs w:val="16"/>
              </w:rPr>
              <w:t xml:space="preserve"> * 7,55 * d</w:t>
            </w:r>
            <w:r>
              <w:rPr>
                <w:b/>
                <w:bCs/>
                <w:sz w:val="16"/>
                <w:szCs w:val="16"/>
                <w:vertAlign w:val="subscript"/>
              </w:rPr>
              <w:t>1</w:t>
            </w:r>
            <w:r>
              <w:rPr>
                <w:b/>
                <w:bCs/>
                <w:sz w:val="16"/>
                <w:szCs w:val="16"/>
              </w:rPr>
              <w:t xml:space="preserve"> / P</w:t>
            </w:r>
            <w:r>
              <w:rPr>
                <w:b/>
                <w:bCs/>
                <w:sz w:val="16"/>
                <w:szCs w:val="16"/>
                <w:vertAlign w:val="subscript"/>
              </w:rPr>
              <w:t>0</w:t>
            </w:r>
            <w:r>
              <w:rPr>
                <w:b/>
                <w:bCs/>
                <w:sz w:val="16"/>
                <w:szCs w:val="16"/>
              </w:rPr>
              <w:t xml:space="preserve"> * 7,55 * d</w:t>
            </w:r>
            <w:r>
              <w:rPr>
                <w:b/>
                <w:bCs/>
                <w:sz w:val="16"/>
                <w:szCs w:val="16"/>
                <w:vertAlign w:val="subscript"/>
              </w:rPr>
              <w:t>0</w:t>
            </w:r>
            <w:r>
              <w:rPr>
                <w:sz w:val="16"/>
                <w:szCs w:val="16"/>
              </w:rPr>
              <w:br/>
            </w:r>
            <w:r>
              <w:rPr>
                <w:b/>
                <w:bCs/>
                <w:sz w:val="16"/>
                <w:szCs w:val="16"/>
              </w:rPr>
              <w:t>P</w:t>
            </w:r>
            <w:r>
              <w:rPr>
                <w:b/>
                <w:bCs/>
                <w:sz w:val="16"/>
                <w:szCs w:val="16"/>
                <w:vertAlign w:val="subscript"/>
              </w:rPr>
              <w:t>1</w:t>
            </w:r>
            <w:r>
              <w:rPr>
                <w:sz w:val="16"/>
                <w:szCs w:val="16"/>
              </w:rPr>
              <w:t xml:space="preserve">= a Platt's </w:t>
            </w:r>
            <w:proofErr w:type="spellStart"/>
            <w:r>
              <w:rPr>
                <w:sz w:val="16"/>
                <w:szCs w:val="16"/>
              </w:rPr>
              <w:t>Oil</w:t>
            </w:r>
            <w:proofErr w:type="spellEnd"/>
            <w:r>
              <w:rPr>
                <w:sz w:val="16"/>
                <w:szCs w:val="16"/>
              </w:rPr>
              <w:t xml:space="preserve"> Market </w:t>
            </w:r>
            <w:proofErr w:type="spellStart"/>
            <w:r>
              <w:rPr>
                <w:sz w:val="16"/>
                <w:szCs w:val="16"/>
              </w:rPr>
              <w:t>WireBrent</w:t>
            </w:r>
            <w:proofErr w:type="spellEnd"/>
            <w:r>
              <w:rPr>
                <w:sz w:val="16"/>
                <w:szCs w:val="16"/>
              </w:rPr>
              <w:t xml:space="preserve"> (</w:t>
            </w:r>
            <w:proofErr w:type="spellStart"/>
            <w:r>
              <w:rPr>
                <w:sz w:val="16"/>
                <w:szCs w:val="16"/>
              </w:rPr>
              <w:t>Dtd</w:t>
            </w:r>
            <w:proofErr w:type="spellEnd"/>
            <w:r>
              <w:rPr>
                <w:sz w:val="16"/>
                <w:szCs w:val="16"/>
              </w:rPr>
              <w:t>) bevallási időszak (hónap) napi árainak (USD/</w:t>
            </w:r>
            <w:proofErr w:type="spellStart"/>
            <w:r>
              <w:rPr>
                <w:sz w:val="16"/>
                <w:szCs w:val="16"/>
              </w:rPr>
              <w:t>bbl</w:t>
            </w:r>
            <w:proofErr w:type="spellEnd"/>
            <w:r>
              <w:rPr>
                <w:sz w:val="16"/>
                <w:szCs w:val="16"/>
              </w:rPr>
              <w:t xml:space="preserve">) számtani átlaga </w:t>
            </w:r>
            <w:r>
              <w:rPr>
                <w:sz w:val="16"/>
                <w:szCs w:val="16"/>
              </w:rPr>
              <w:br/>
            </w:r>
            <w:r>
              <w:rPr>
                <w:b/>
                <w:bCs/>
                <w:sz w:val="16"/>
                <w:szCs w:val="16"/>
              </w:rPr>
              <w:t>P</w:t>
            </w:r>
            <w:r>
              <w:rPr>
                <w:b/>
                <w:bCs/>
                <w:sz w:val="16"/>
                <w:szCs w:val="16"/>
                <w:vertAlign w:val="subscript"/>
              </w:rPr>
              <w:t xml:space="preserve">0 </w:t>
            </w:r>
            <w:r>
              <w:rPr>
                <w:sz w:val="16"/>
                <w:szCs w:val="16"/>
              </w:rPr>
              <w:t xml:space="preserve">= a Platt's </w:t>
            </w:r>
            <w:proofErr w:type="spellStart"/>
            <w:r>
              <w:rPr>
                <w:sz w:val="16"/>
                <w:szCs w:val="16"/>
              </w:rPr>
              <w:t>Oil</w:t>
            </w:r>
            <w:proofErr w:type="spellEnd"/>
            <w:r>
              <w:rPr>
                <w:sz w:val="16"/>
                <w:szCs w:val="16"/>
              </w:rPr>
              <w:t xml:space="preserve"> Market </w:t>
            </w:r>
            <w:proofErr w:type="spellStart"/>
            <w:r>
              <w:rPr>
                <w:sz w:val="16"/>
                <w:szCs w:val="16"/>
              </w:rPr>
              <w:t>WireBrent</w:t>
            </w:r>
            <w:proofErr w:type="spellEnd"/>
            <w:r>
              <w:rPr>
                <w:sz w:val="16"/>
                <w:szCs w:val="16"/>
              </w:rPr>
              <w:t xml:space="preserve"> (</w:t>
            </w:r>
            <w:proofErr w:type="spellStart"/>
            <w:r>
              <w:rPr>
                <w:sz w:val="16"/>
                <w:szCs w:val="16"/>
              </w:rPr>
              <w:t>Dtd</w:t>
            </w:r>
            <w:proofErr w:type="spellEnd"/>
            <w:r>
              <w:rPr>
                <w:sz w:val="16"/>
                <w:szCs w:val="16"/>
              </w:rPr>
              <w:t>) 2007. december hónap napi árainak  (USD/</w:t>
            </w:r>
            <w:proofErr w:type="spellStart"/>
            <w:r>
              <w:rPr>
                <w:sz w:val="16"/>
                <w:szCs w:val="16"/>
              </w:rPr>
              <w:t>bbl</w:t>
            </w:r>
            <w:proofErr w:type="spellEnd"/>
            <w:r>
              <w:rPr>
                <w:sz w:val="16"/>
                <w:szCs w:val="16"/>
              </w:rPr>
              <w:t>) számtani átlaga 7,55= USD/</w:t>
            </w:r>
            <w:proofErr w:type="spellStart"/>
            <w:r>
              <w:rPr>
                <w:sz w:val="16"/>
                <w:szCs w:val="16"/>
              </w:rPr>
              <w:t>bbl</w:t>
            </w:r>
            <w:proofErr w:type="spellEnd"/>
            <w:r>
              <w:rPr>
                <w:sz w:val="16"/>
                <w:szCs w:val="16"/>
              </w:rPr>
              <w:t xml:space="preserve"> ár és az USD/t ár viszonyszáma</w:t>
            </w:r>
            <w:r>
              <w:rPr>
                <w:sz w:val="16"/>
                <w:szCs w:val="16"/>
              </w:rPr>
              <w:br/>
            </w:r>
            <w:r>
              <w:rPr>
                <w:b/>
                <w:bCs/>
                <w:sz w:val="16"/>
                <w:szCs w:val="16"/>
              </w:rPr>
              <w:t>d</w:t>
            </w:r>
            <w:r>
              <w:rPr>
                <w:b/>
                <w:bCs/>
                <w:sz w:val="16"/>
                <w:szCs w:val="16"/>
                <w:vertAlign w:val="subscript"/>
              </w:rPr>
              <w:t>1</w:t>
            </w:r>
            <w:r>
              <w:rPr>
                <w:sz w:val="16"/>
                <w:szCs w:val="16"/>
              </w:rPr>
              <w:t>= az MNB devizaárfolyamainak bevallási időszakra (hónap) vonatkozó számtani átlaga Ft/USD</w:t>
            </w:r>
            <w:r>
              <w:rPr>
                <w:sz w:val="16"/>
                <w:szCs w:val="16"/>
              </w:rPr>
              <w:br/>
            </w:r>
            <w:r>
              <w:rPr>
                <w:b/>
                <w:bCs/>
                <w:sz w:val="16"/>
                <w:szCs w:val="16"/>
              </w:rPr>
              <w:t>d</w:t>
            </w:r>
            <w:r>
              <w:rPr>
                <w:b/>
                <w:bCs/>
                <w:sz w:val="16"/>
                <w:szCs w:val="16"/>
                <w:vertAlign w:val="subscript"/>
              </w:rPr>
              <w:t>0</w:t>
            </w:r>
            <w:r>
              <w:rPr>
                <w:sz w:val="16"/>
                <w:szCs w:val="16"/>
              </w:rPr>
              <w:t xml:space="preserve"> = az MNB devizaárfolyamainak 2007. december hónapra vonatkozó számtani átlaga Ft/USD</w:t>
            </w:r>
            <w:r>
              <w:rPr>
                <w:sz w:val="16"/>
                <w:szCs w:val="16"/>
              </w:rPr>
              <w:br/>
            </w:r>
            <w:r>
              <w:rPr>
                <w:b/>
                <w:bCs/>
                <w:sz w:val="16"/>
                <w:szCs w:val="16"/>
              </w:rPr>
              <w:t>K</w:t>
            </w:r>
            <w:r>
              <w:rPr>
                <w:b/>
                <w:bCs/>
                <w:sz w:val="16"/>
                <w:szCs w:val="16"/>
                <w:vertAlign w:val="subscript"/>
              </w:rPr>
              <w:t xml:space="preserve">1 </w:t>
            </w:r>
            <w:r>
              <w:rPr>
                <w:sz w:val="16"/>
                <w:szCs w:val="16"/>
              </w:rPr>
              <w:t>= fajlagos előkészítési</w:t>
            </w:r>
            <w:proofErr w:type="gramEnd"/>
            <w:r>
              <w:rPr>
                <w:sz w:val="16"/>
                <w:szCs w:val="16"/>
              </w:rPr>
              <w:t xml:space="preserve"> költség </w:t>
            </w:r>
            <w:r>
              <w:rPr>
                <w:sz w:val="16"/>
                <w:szCs w:val="16"/>
              </w:rPr>
              <w:br/>
              <w:t>10 000 Ft/t</w:t>
            </w:r>
            <w:r>
              <w:rPr>
                <w:sz w:val="16"/>
                <w:szCs w:val="16"/>
              </w:rPr>
              <w:br/>
            </w:r>
            <w:r>
              <w:rPr>
                <w:b/>
                <w:bCs/>
                <w:sz w:val="16"/>
                <w:szCs w:val="16"/>
              </w:rPr>
              <w:t xml:space="preserve">I </w:t>
            </w:r>
            <w:r>
              <w:rPr>
                <w:sz w:val="16"/>
                <w:szCs w:val="16"/>
              </w:rPr>
              <w:t xml:space="preserve">= korrekciós tényező évenként az előző évi ipari - élelmiszer nélküli - belföldi értékesítés árindexével növekszik. Az I értéke 2008. évben 1,06. </w:t>
            </w:r>
          </w:p>
        </w:tc>
        <w:tc>
          <w:tcPr>
            <w:tcW w:w="850" w:type="dxa"/>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center"/>
              <w:rPr>
                <w:sz w:val="16"/>
                <w:szCs w:val="16"/>
              </w:rPr>
            </w:pPr>
            <w:r>
              <w:rPr>
                <w:sz w:val="16"/>
                <w:szCs w:val="16"/>
              </w:rPr>
              <w:t xml:space="preserve">Ft/t </w:t>
            </w:r>
          </w:p>
        </w:tc>
        <w:tc>
          <w:tcPr>
            <w:tcW w:w="1418" w:type="dxa"/>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left"/>
              <w:rPr>
                <w:sz w:val="16"/>
                <w:szCs w:val="16"/>
              </w:rPr>
            </w:pPr>
            <w:r>
              <w:rPr>
                <w:sz w:val="16"/>
                <w:szCs w:val="16"/>
              </w:rPr>
              <w:t>9010 Kőolaj</w:t>
            </w:r>
          </w:p>
        </w:tc>
      </w:tr>
      <w:tr w:rsidR="00153F2F">
        <w:trPr>
          <w:cantSplit/>
        </w:trPr>
        <w:tc>
          <w:tcPr>
            <w:tcW w:w="638" w:type="dxa"/>
            <w:tcBorders>
              <w:top w:val="single" w:sz="4" w:space="0" w:color="auto"/>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103</w:t>
            </w:r>
          </w:p>
        </w:tc>
        <w:tc>
          <w:tcPr>
            <w:tcW w:w="1701" w:type="dxa"/>
            <w:vMerge w:val="restart"/>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left"/>
              <w:rPr>
                <w:sz w:val="16"/>
                <w:szCs w:val="16"/>
              </w:rPr>
            </w:pPr>
            <w:r>
              <w:rPr>
                <w:b/>
                <w:bCs/>
                <w:sz w:val="16"/>
                <w:szCs w:val="16"/>
              </w:rPr>
              <w:t>12. Szénhidrogén</w:t>
            </w:r>
            <w:r>
              <w:rPr>
                <w:b/>
                <w:bCs/>
                <w:sz w:val="16"/>
                <w:szCs w:val="16"/>
              </w:rPr>
              <w:br/>
              <w:t>tartalmú</w:t>
            </w:r>
            <w:r>
              <w:rPr>
                <w:sz w:val="16"/>
                <w:szCs w:val="16"/>
              </w:rPr>
              <w:br/>
            </w:r>
            <w:r>
              <w:rPr>
                <w:b/>
                <w:bCs/>
                <w:sz w:val="16"/>
                <w:szCs w:val="16"/>
              </w:rPr>
              <w:t>nyersanyagok</w:t>
            </w:r>
            <w:r>
              <w:rPr>
                <w:sz w:val="16"/>
                <w:szCs w:val="16"/>
              </w:rPr>
              <w:br/>
            </w:r>
            <w:proofErr w:type="gramStart"/>
            <w:r>
              <w:rPr>
                <w:sz w:val="16"/>
                <w:szCs w:val="16"/>
              </w:rPr>
              <w:t>A</w:t>
            </w:r>
            <w:proofErr w:type="gramEnd"/>
            <w:r>
              <w:rPr>
                <w:sz w:val="16"/>
                <w:szCs w:val="16"/>
              </w:rPr>
              <w:t xml:space="preserve"> kőolaj és </w:t>
            </w:r>
            <w:r>
              <w:rPr>
                <w:sz w:val="16"/>
                <w:szCs w:val="16"/>
              </w:rPr>
              <w:br/>
              <w:t>a szénhidrogén-</w:t>
            </w:r>
            <w:r>
              <w:rPr>
                <w:sz w:val="16"/>
                <w:szCs w:val="16"/>
              </w:rPr>
              <w:br/>
              <w:t>földgáz.</w:t>
            </w:r>
            <w:r>
              <w:rPr>
                <w:sz w:val="16"/>
                <w:szCs w:val="16"/>
              </w:rPr>
              <w:br/>
              <w:t>Összefoglaló</w:t>
            </w:r>
            <w:r>
              <w:rPr>
                <w:sz w:val="16"/>
                <w:szCs w:val="16"/>
              </w:rPr>
              <w:br/>
              <w:t>elnevezése:</w:t>
            </w:r>
            <w:r>
              <w:rPr>
                <w:sz w:val="16"/>
                <w:szCs w:val="16"/>
              </w:rPr>
              <w:br/>
              <w:t>szénhidrogén.</w:t>
            </w:r>
          </w:p>
        </w:tc>
        <w:tc>
          <w:tcPr>
            <w:tcW w:w="1276" w:type="dxa"/>
            <w:tcBorders>
              <w:top w:val="single" w:sz="4" w:space="0" w:color="auto"/>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2. Konvencionális</w:t>
            </w:r>
            <w:r>
              <w:rPr>
                <w:sz w:val="16"/>
                <w:szCs w:val="16"/>
              </w:rPr>
              <w:br/>
              <w:t>eljárással</w:t>
            </w:r>
            <w:r>
              <w:rPr>
                <w:sz w:val="16"/>
                <w:szCs w:val="16"/>
              </w:rPr>
              <w:br/>
              <w:t>termelhető</w:t>
            </w:r>
            <w:r>
              <w:rPr>
                <w:sz w:val="16"/>
                <w:szCs w:val="16"/>
              </w:rPr>
              <w:br/>
              <w:t>szénhidrogén</w:t>
            </w:r>
            <w:r>
              <w:rPr>
                <w:sz w:val="16"/>
                <w:szCs w:val="16"/>
              </w:rPr>
              <w:br/>
              <w:t>földgáz</w:t>
            </w:r>
          </w:p>
        </w:tc>
        <w:tc>
          <w:tcPr>
            <w:tcW w:w="3119" w:type="dxa"/>
            <w:tcBorders>
              <w:top w:val="single" w:sz="4" w:space="0" w:color="auto"/>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 szénhidrogéntelep kezdeti nyomásán és hőmérsékletén gáz- és cseppfolyós halmazállapotú, szénhidrogén alapú gázok elegyének technikai </w:t>
            </w:r>
            <w:proofErr w:type="gramStart"/>
            <w:r>
              <w:rPr>
                <w:sz w:val="16"/>
                <w:szCs w:val="16"/>
              </w:rPr>
              <w:t>normál állapoton</w:t>
            </w:r>
            <w:proofErr w:type="gramEnd"/>
            <w:r>
              <w:rPr>
                <w:sz w:val="16"/>
                <w:szCs w:val="16"/>
              </w:rPr>
              <w:t xml:space="preserve"> (15 °C. 0,1 </w:t>
            </w:r>
            <w:proofErr w:type="spellStart"/>
            <w:r>
              <w:rPr>
                <w:sz w:val="16"/>
                <w:szCs w:val="16"/>
              </w:rPr>
              <w:t>MPa</w:t>
            </w:r>
            <w:proofErr w:type="spellEnd"/>
            <w:r>
              <w:rPr>
                <w:sz w:val="16"/>
                <w:szCs w:val="16"/>
              </w:rPr>
              <w:t xml:space="preserve">) gáz halmazállapotú része. Idetartozik a földgáz technikai </w:t>
            </w:r>
            <w:proofErr w:type="gramStart"/>
            <w:r>
              <w:rPr>
                <w:sz w:val="16"/>
                <w:szCs w:val="16"/>
              </w:rPr>
              <w:t>normál állapoton</w:t>
            </w:r>
            <w:proofErr w:type="gramEnd"/>
            <w:r>
              <w:rPr>
                <w:sz w:val="16"/>
                <w:szCs w:val="16"/>
              </w:rPr>
              <w:t xml:space="preserve"> folyékony (állandósított) része (kondenzátum, gazolin), amelyet átszámítással kell a kútfejen termelt gázmennyiségben szerepeltetni. Összetételében könnyű paraffin szénhidrogénekből (főleg CH4) álló, gyakran CO2-t és N2-t, esetleg H2S-t, és nemes gázokat tartalmazó gáz. A konvencionális eljárással termelt szénhidrogén földgáz másodlagos migráció révén kerül a felhalmozódás helyére, ahol a sűrűség szerint elkülönült szénhidrogének (földgáz, kőolaj) normál porozitású és </w:t>
            </w:r>
            <w:proofErr w:type="spellStart"/>
            <w:r>
              <w:rPr>
                <w:sz w:val="16"/>
                <w:szCs w:val="16"/>
              </w:rPr>
              <w:t>permeabilitású</w:t>
            </w:r>
            <w:proofErr w:type="spellEnd"/>
            <w:r>
              <w:rPr>
                <w:sz w:val="16"/>
                <w:szCs w:val="16"/>
              </w:rPr>
              <w:t xml:space="preserve"> rezervoár-kőzetekben helyezkednek el, és hagyományos technológiával kitermelhetők. A földgáz összetételében a nem éghető gázok aránya nem éri el a 30 térfogat %-ot.</w:t>
            </w:r>
          </w:p>
        </w:tc>
        <w:tc>
          <w:tcPr>
            <w:tcW w:w="1417" w:type="dxa"/>
            <w:tcBorders>
              <w:top w:val="single" w:sz="4" w:space="0" w:color="auto"/>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2120</w:t>
            </w:r>
          </w:p>
        </w:tc>
        <w:tc>
          <w:tcPr>
            <w:tcW w:w="1701" w:type="dxa"/>
            <w:vMerge w:val="restart"/>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center"/>
              <w:rPr>
                <w:sz w:val="16"/>
                <w:szCs w:val="16"/>
              </w:rPr>
            </w:pPr>
            <w:r>
              <w:rPr>
                <w:sz w:val="16"/>
                <w:szCs w:val="16"/>
              </w:rPr>
              <w:t xml:space="preserve">E = p </w:t>
            </w:r>
            <w:r>
              <w:rPr>
                <w:rFonts w:ascii="Symbol" w:hAnsi="Symbol" w:cs="Symbol"/>
                <w:sz w:val="16"/>
                <w:szCs w:val="16"/>
              </w:rPr>
              <w:t></w:t>
            </w:r>
            <w:r>
              <w:rPr>
                <w:sz w:val="16"/>
                <w:szCs w:val="16"/>
              </w:rPr>
              <w:t xml:space="preserve"> d – K</w:t>
            </w:r>
            <w:r>
              <w:rPr>
                <w:sz w:val="16"/>
                <w:szCs w:val="16"/>
                <w:vertAlign w:val="subscript"/>
              </w:rPr>
              <w:t>2</w:t>
            </w:r>
            <w:r>
              <w:rPr>
                <w:sz w:val="16"/>
                <w:szCs w:val="16"/>
              </w:rPr>
              <w:t xml:space="preserve"> </w:t>
            </w:r>
            <w:r>
              <w:rPr>
                <w:rFonts w:ascii="Symbol" w:hAnsi="Symbol" w:cs="Symbol"/>
                <w:sz w:val="16"/>
                <w:szCs w:val="16"/>
              </w:rPr>
              <w:t></w:t>
            </w:r>
            <w:r>
              <w:rPr>
                <w:sz w:val="16"/>
                <w:szCs w:val="16"/>
              </w:rPr>
              <w:t xml:space="preserve"> I</w:t>
            </w:r>
            <w:r>
              <w:rPr>
                <w:sz w:val="16"/>
                <w:szCs w:val="16"/>
              </w:rPr>
              <w:br/>
              <w:t>ahol</w:t>
            </w:r>
          </w:p>
          <w:p w:rsidR="00153F2F" w:rsidRDefault="00604D51">
            <w:pPr>
              <w:widowControl w:val="0"/>
              <w:spacing w:after="0"/>
              <w:ind w:firstLine="0"/>
              <w:jc w:val="center"/>
              <w:rPr>
                <w:sz w:val="16"/>
                <w:szCs w:val="16"/>
              </w:rPr>
            </w:pPr>
            <w:r>
              <w:rPr>
                <w:sz w:val="16"/>
                <w:szCs w:val="16"/>
              </w:rPr>
              <w:t>E = a szénhidrogén földgáz – bányajáradék szempontjából figyelembe vett – értéke (Ft/</w:t>
            </w:r>
            <w:proofErr w:type="spellStart"/>
            <w:r>
              <w:rPr>
                <w:sz w:val="16"/>
                <w:szCs w:val="16"/>
              </w:rPr>
              <w:t>MWh</w:t>
            </w:r>
            <w:proofErr w:type="spellEnd"/>
            <w:r>
              <w:rPr>
                <w:sz w:val="16"/>
                <w:szCs w:val="16"/>
              </w:rPr>
              <w:t>)</w:t>
            </w:r>
          </w:p>
          <w:p w:rsidR="00153F2F" w:rsidRDefault="00604D51">
            <w:pPr>
              <w:widowControl w:val="0"/>
              <w:spacing w:after="0"/>
              <w:ind w:firstLine="0"/>
              <w:jc w:val="center"/>
              <w:rPr>
                <w:sz w:val="16"/>
                <w:szCs w:val="16"/>
              </w:rPr>
            </w:pPr>
            <w:r>
              <w:rPr>
                <w:sz w:val="16"/>
                <w:szCs w:val="16"/>
              </w:rPr>
              <w:t xml:space="preserve">p = a </w:t>
            </w:r>
            <w:proofErr w:type="spellStart"/>
            <w:r>
              <w:rPr>
                <w:sz w:val="16"/>
                <w:szCs w:val="16"/>
              </w:rPr>
              <w:t>Platts</w:t>
            </w:r>
            <w:proofErr w:type="spellEnd"/>
            <w:r>
              <w:rPr>
                <w:sz w:val="16"/>
                <w:szCs w:val="16"/>
              </w:rPr>
              <w:t xml:space="preserve"> </w:t>
            </w:r>
            <w:proofErr w:type="spellStart"/>
            <w:r>
              <w:rPr>
                <w:sz w:val="16"/>
                <w:szCs w:val="16"/>
              </w:rPr>
              <w:t>Dutch</w:t>
            </w:r>
            <w:proofErr w:type="spellEnd"/>
            <w:r>
              <w:rPr>
                <w:sz w:val="16"/>
                <w:szCs w:val="16"/>
              </w:rPr>
              <w:t xml:space="preserve"> TTF Day </w:t>
            </w:r>
            <w:proofErr w:type="spellStart"/>
            <w:r>
              <w:rPr>
                <w:sz w:val="16"/>
                <w:szCs w:val="16"/>
              </w:rPr>
              <w:t>ahead</w:t>
            </w:r>
            <w:proofErr w:type="spellEnd"/>
            <w:r>
              <w:rPr>
                <w:sz w:val="16"/>
                <w:szCs w:val="16"/>
              </w:rPr>
              <w:t xml:space="preserve"> bevallási időszak napi árainak (EUR/</w:t>
            </w:r>
            <w:proofErr w:type="spellStart"/>
            <w:r>
              <w:rPr>
                <w:sz w:val="16"/>
                <w:szCs w:val="16"/>
              </w:rPr>
              <w:t>MWh</w:t>
            </w:r>
            <w:proofErr w:type="spellEnd"/>
            <w:r>
              <w:rPr>
                <w:sz w:val="16"/>
                <w:szCs w:val="16"/>
              </w:rPr>
              <w:t xml:space="preserve">) számtani átlaga </w:t>
            </w:r>
            <w:r>
              <w:rPr>
                <w:sz w:val="16"/>
                <w:szCs w:val="16"/>
              </w:rPr>
              <w:br/>
              <w:t>+ 1,05 EUR/</w:t>
            </w:r>
            <w:proofErr w:type="spellStart"/>
            <w:r>
              <w:rPr>
                <w:sz w:val="16"/>
                <w:szCs w:val="16"/>
              </w:rPr>
              <w:t>MWh</w:t>
            </w:r>
            <w:proofErr w:type="spellEnd"/>
          </w:p>
          <w:p w:rsidR="00153F2F" w:rsidRDefault="00604D51">
            <w:pPr>
              <w:widowControl w:val="0"/>
              <w:spacing w:after="0"/>
              <w:ind w:firstLine="0"/>
              <w:jc w:val="center"/>
              <w:rPr>
                <w:sz w:val="16"/>
                <w:szCs w:val="16"/>
              </w:rPr>
            </w:pPr>
            <w:r>
              <w:rPr>
                <w:sz w:val="16"/>
                <w:szCs w:val="16"/>
              </w:rPr>
              <w:t>d = az MNB devizaárfolyamainak bevallási időszakra (hónap) vonatkozó számtani átlaga Ft/EUR</w:t>
            </w:r>
          </w:p>
          <w:p w:rsidR="00153F2F" w:rsidRDefault="00604D51">
            <w:pPr>
              <w:widowControl w:val="0"/>
              <w:spacing w:after="0"/>
              <w:ind w:firstLine="0"/>
              <w:jc w:val="center"/>
              <w:rPr>
                <w:sz w:val="16"/>
                <w:szCs w:val="16"/>
              </w:rPr>
            </w:pPr>
            <w:r>
              <w:rPr>
                <w:sz w:val="16"/>
                <w:szCs w:val="16"/>
              </w:rPr>
              <w:t>K</w:t>
            </w:r>
            <w:r>
              <w:rPr>
                <w:sz w:val="16"/>
                <w:szCs w:val="16"/>
                <w:vertAlign w:val="subscript"/>
              </w:rPr>
              <w:t>2</w:t>
            </w:r>
            <w:r>
              <w:rPr>
                <w:sz w:val="16"/>
                <w:szCs w:val="16"/>
              </w:rPr>
              <w:t xml:space="preserve"> = fajlagos előkészítési költség 260 Ft/</w:t>
            </w:r>
            <w:proofErr w:type="spellStart"/>
            <w:r>
              <w:rPr>
                <w:sz w:val="16"/>
                <w:szCs w:val="16"/>
              </w:rPr>
              <w:t>MWh</w:t>
            </w:r>
            <w:proofErr w:type="spellEnd"/>
          </w:p>
          <w:p w:rsidR="00153F2F" w:rsidRDefault="00604D51">
            <w:pPr>
              <w:widowControl w:val="0"/>
              <w:spacing w:after="0"/>
              <w:ind w:firstLine="0"/>
              <w:jc w:val="center"/>
              <w:rPr>
                <w:sz w:val="16"/>
                <w:szCs w:val="16"/>
              </w:rPr>
            </w:pPr>
            <w:r>
              <w:rPr>
                <w:sz w:val="16"/>
                <w:szCs w:val="16"/>
              </w:rPr>
              <w:t>I = korrekciós tényező, amely évenként az előző évi ipari – élelmiszer nélküli – belföldi értékesítés árindexével változik. Az I értéke a 2008. évben 1,06.</w:t>
            </w:r>
          </w:p>
        </w:tc>
        <w:tc>
          <w:tcPr>
            <w:tcW w:w="850" w:type="dxa"/>
            <w:vMerge w:val="restart"/>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left"/>
              <w:rPr>
                <w:sz w:val="16"/>
                <w:szCs w:val="16"/>
              </w:rPr>
            </w:pPr>
            <w:r>
              <w:rPr>
                <w:sz w:val="16"/>
                <w:szCs w:val="16"/>
              </w:rPr>
              <w:t>Ft/</w:t>
            </w:r>
            <w:proofErr w:type="spellStart"/>
            <w:r>
              <w:rPr>
                <w:sz w:val="16"/>
                <w:szCs w:val="16"/>
              </w:rPr>
              <w:t>MWh</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9020</w:t>
            </w:r>
            <w:r>
              <w:rPr>
                <w:sz w:val="16"/>
                <w:szCs w:val="16"/>
              </w:rPr>
              <w:br/>
              <w:t xml:space="preserve">Konvencionális eljárással termelt szénhidrogén </w:t>
            </w:r>
            <w:r>
              <w:rPr>
                <w:sz w:val="16"/>
                <w:szCs w:val="16"/>
              </w:rPr>
              <w:br/>
              <w:t>földgáz</w:t>
            </w:r>
          </w:p>
        </w:tc>
      </w:tr>
      <w:tr w:rsidR="00153F2F">
        <w:trPr>
          <w:cantSplit/>
        </w:trPr>
        <w:tc>
          <w:tcPr>
            <w:tcW w:w="63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104</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3. Nem</w:t>
            </w:r>
            <w:r>
              <w:rPr>
                <w:sz w:val="16"/>
                <w:szCs w:val="16"/>
              </w:rPr>
              <w:br/>
              <w:t>konvencionális</w:t>
            </w:r>
            <w:r>
              <w:rPr>
                <w:sz w:val="16"/>
                <w:szCs w:val="16"/>
              </w:rPr>
              <w:br/>
              <w:t>eljárással</w:t>
            </w:r>
            <w:r>
              <w:rPr>
                <w:sz w:val="16"/>
                <w:szCs w:val="16"/>
              </w:rPr>
              <w:br/>
              <w:t>termelhető</w:t>
            </w:r>
            <w:r>
              <w:rPr>
                <w:sz w:val="16"/>
                <w:szCs w:val="16"/>
              </w:rPr>
              <w:br/>
              <w:t>szénhidrogén</w:t>
            </w:r>
            <w:r>
              <w:rPr>
                <w:sz w:val="16"/>
                <w:szCs w:val="16"/>
              </w:rPr>
              <w:br/>
              <w:t>földgáz</w:t>
            </w:r>
            <w:r>
              <w:rPr>
                <w:sz w:val="16"/>
                <w:szCs w:val="16"/>
              </w:rPr>
              <w:br/>
              <w:t>(medence-</w:t>
            </w:r>
            <w:r>
              <w:rPr>
                <w:sz w:val="16"/>
                <w:szCs w:val="16"/>
              </w:rPr>
              <w:br/>
              <w:t>központú gáz)</w:t>
            </w:r>
          </w:p>
        </w:tc>
        <w:tc>
          <w:tcPr>
            <w:tcW w:w="3119"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szénhidrogén földgáz, amelynek fizikai-kémiai paraméterei megegyeznek a konvencionális eljárással termelt szénhidrogén földgázéval (kód: 2120), de a keletkezés helyén, az anyakőzetben található, azaz (még) nem zajlottak le a migrációs folyamatok, és a fázisok hidrodinamikai törvények szabályozta szétválása sem történt meg. Ezért nevezik “folyamatos telítettségű” vagy “nem-hidrodinamikus” telepnek is. A rezervoár nagyon alacsony </w:t>
            </w:r>
            <w:proofErr w:type="spellStart"/>
            <w:r>
              <w:rPr>
                <w:sz w:val="16"/>
                <w:szCs w:val="16"/>
              </w:rPr>
              <w:t>permeabilitású</w:t>
            </w:r>
            <w:proofErr w:type="spellEnd"/>
            <w:r>
              <w:rPr>
                <w:sz w:val="16"/>
                <w:szCs w:val="16"/>
              </w:rPr>
              <w:t>, hagyományos technológiával nem termelhető (hatékony stimuláció szükséges), illetve kinyerése növelt hatékonyságú eljárásokat igényel.</w:t>
            </w:r>
          </w:p>
        </w:tc>
        <w:tc>
          <w:tcPr>
            <w:tcW w:w="1417" w:type="dxa"/>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2268" w:type="dxa"/>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709"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2130</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center"/>
              <w:rPr>
                <w:sz w:val="16"/>
                <w:szCs w:val="16"/>
              </w:rPr>
            </w:pPr>
          </w:p>
        </w:tc>
        <w:tc>
          <w:tcPr>
            <w:tcW w:w="850"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left"/>
              <w:rPr>
                <w:sz w:val="16"/>
                <w:szCs w:val="16"/>
              </w:rPr>
            </w:pPr>
          </w:p>
        </w:tc>
        <w:tc>
          <w:tcPr>
            <w:tcW w:w="1418" w:type="dxa"/>
            <w:tcBorders>
              <w:top w:val="nil"/>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9030 Nem konvencionális eljárással termelt szénhidrogén földgáz</w:t>
            </w:r>
          </w:p>
        </w:tc>
      </w:tr>
      <w:tr w:rsidR="00153F2F">
        <w:trPr>
          <w:cantSplit/>
        </w:trPr>
        <w:tc>
          <w:tcPr>
            <w:tcW w:w="638" w:type="dxa"/>
            <w:tcBorders>
              <w:top w:val="single" w:sz="4" w:space="0" w:color="auto"/>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104/</w:t>
            </w:r>
            <w:proofErr w:type="gramStart"/>
            <w:r>
              <w:rPr>
                <w:sz w:val="16"/>
                <w:szCs w:val="16"/>
              </w:rPr>
              <w:t>a</w:t>
            </w:r>
            <w:proofErr w:type="gramEnd"/>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left"/>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3/</w:t>
            </w:r>
            <w:proofErr w:type="gramStart"/>
            <w:r>
              <w:rPr>
                <w:sz w:val="16"/>
                <w:szCs w:val="16"/>
              </w:rPr>
              <w:t>a.</w:t>
            </w:r>
            <w:proofErr w:type="gramEnd"/>
            <w:r>
              <w:rPr>
                <w:sz w:val="16"/>
                <w:szCs w:val="16"/>
              </w:rPr>
              <w:t xml:space="preserve"> Kísérőgáz</w:t>
            </w:r>
          </w:p>
        </w:tc>
        <w:tc>
          <w:tcPr>
            <w:tcW w:w="3119" w:type="dxa"/>
            <w:tcBorders>
              <w:top w:val="single" w:sz="4" w:space="0" w:color="auto"/>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A földkéregből </w:t>
            </w:r>
            <w:proofErr w:type="gramStart"/>
            <w:r>
              <w:rPr>
                <w:sz w:val="16"/>
                <w:szCs w:val="16"/>
              </w:rPr>
              <w:t>kitermelt  +</w:t>
            </w:r>
            <w:proofErr w:type="gramEnd"/>
            <w:r>
              <w:rPr>
                <w:sz w:val="16"/>
                <w:szCs w:val="16"/>
              </w:rPr>
              <w:t xml:space="preserve"> 30 </w:t>
            </w:r>
            <w:proofErr w:type="spellStart"/>
            <w:r>
              <w:rPr>
                <w:sz w:val="16"/>
                <w:szCs w:val="16"/>
              </w:rPr>
              <w:t>°C-ot</w:t>
            </w:r>
            <w:proofErr w:type="spellEnd"/>
            <w:r>
              <w:rPr>
                <w:sz w:val="16"/>
                <w:szCs w:val="16"/>
              </w:rPr>
              <w:t xml:space="preserve"> meghaladó hőmérsékletű folyékony halmazállapotú anyagból kinyerhető éghető, oldott gázok.</w:t>
            </w:r>
          </w:p>
        </w:tc>
        <w:tc>
          <w:tcPr>
            <w:tcW w:w="1417" w:type="dxa"/>
            <w:tcBorders>
              <w:top w:val="single" w:sz="4" w:space="0" w:color="auto"/>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2131</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center"/>
              <w:rPr>
                <w:sz w:val="16"/>
                <w:szCs w:val="16"/>
              </w:rPr>
            </w:pPr>
          </w:p>
        </w:tc>
        <w:tc>
          <w:tcPr>
            <w:tcW w:w="850"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left"/>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r>
      <w:tr w:rsidR="00153F2F">
        <w:trPr>
          <w:cantSplit/>
          <w:trHeight w:val="3130"/>
        </w:trPr>
        <w:tc>
          <w:tcPr>
            <w:tcW w:w="638" w:type="dxa"/>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center"/>
              <w:rPr>
                <w:sz w:val="16"/>
                <w:szCs w:val="16"/>
              </w:rPr>
            </w:pPr>
            <w:r>
              <w:rPr>
                <w:sz w:val="16"/>
                <w:szCs w:val="16"/>
              </w:rPr>
              <w:lastRenderedPageBreak/>
              <w:t>105</w:t>
            </w:r>
          </w:p>
        </w:tc>
        <w:tc>
          <w:tcPr>
            <w:tcW w:w="1701"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left"/>
              <w:rPr>
                <w:sz w:val="16"/>
                <w:szCs w:val="16"/>
              </w:rPr>
            </w:pPr>
          </w:p>
        </w:tc>
        <w:tc>
          <w:tcPr>
            <w:tcW w:w="1276" w:type="dxa"/>
            <w:vMerge w:val="restart"/>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left"/>
              <w:rPr>
                <w:sz w:val="16"/>
                <w:szCs w:val="16"/>
              </w:rPr>
            </w:pPr>
            <w:r>
              <w:rPr>
                <w:sz w:val="16"/>
                <w:szCs w:val="16"/>
              </w:rPr>
              <w:t>4. Inert földgáz</w:t>
            </w:r>
          </w:p>
        </w:tc>
        <w:tc>
          <w:tcPr>
            <w:tcW w:w="3119" w:type="dxa"/>
            <w:vMerge w:val="restart"/>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left"/>
              <w:rPr>
                <w:sz w:val="16"/>
                <w:szCs w:val="16"/>
              </w:rPr>
            </w:pPr>
            <w:r>
              <w:rPr>
                <w:sz w:val="16"/>
                <w:szCs w:val="16"/>
              </w:rPr>
              <w:t>A föld felszíne alatt légnemű halmazállapotban előforduló olyan ásványi nyersanyag, amelynek összetételében, a nem éghető gázok aránya eléri vagy meghaladja a 30 térfogat %-ot, de nem soroljuk ide a vízgőzt.</w:t>
            </w:r>
          </w:p>
        </w:tc>
        <w:tc>
          <w:tcPr>
            <w:tcW w:w="1417" w:type="dxa"/>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left"/>
              <w:rPr>
                <w:sz w:val="16"/>
                <w:szCs w:val="16"/>
              </w:rPr>
            </w:pPr>
            <w:r>
              <w:rPr>
                <w:sz w:val="16"/>
                <w:szCs w:val="16"/>
              </w:rPr>
              <w:t>1. Szénhidrogén tartalmú inert földgáz</w:t>
            </w:r>
          </w:p>
        </w:tc>
        <w:tc>
          <w:tcPr>
            <w:tcW w:w="2268" w:type="dxa"/>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left"/>
              <w:rPr>
                <w:sz w:val="16"/>
                <w:szCs w:val="16"/>
              </w:rPr>
            </w:pPr>
            <w:r>
              <w:rPr>
                <w:sz w:val="16"/>
                <w:szCs w:val="16"/>
              </w:rPr>
              <w:t xml:space="preserve">Olyan szénhidrogén tartalmú földgáz, amelynek inert gáz tartalma eléri vagy meghaladja </w:t>
            </w:r>
            <w:r>
              <w:rPr>
                <w:sz w:val="16"/>
                <w:szCs w:val="16"/>
              </w:rPr>
              <w:br/>
              <w:t>a 30 térfogat %-ot.</w:t>
            </w:r>
          </w:p>
        </w:tc>
        <w:tc>
          <w:tcPr>
            <w:tcW w:w="709" w:type="dxa"/>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left"/>
              <w:rPr>
                <w:sz w:val="16"/>
                <w:szCs w:val="16"/>
              </w:rPr>
            </w:pPr>
            <w:r>
              <w:rPr>
                <w:sz w:val="16"/>
                <w:szCs w:val="16"/>
              </w:rPr>
              <w:t>2141</w:t>
            </w:r>
          </w:p>
        </w:tc>
        <w:tc>
          <w:tcPr>
            <w:tcW w:w="1701" w:type="dxa"/>
            <w:vMerge/>
            <w:tcBorders>
              <w:top w:val="nil"/>
              <w:left w:val="single" w:sz="4" w:space="0" w:color="auto"/>
              <w:bottom w:val="single" w:sz="4" w:space="0" w:color="auto"/>
              <w:right w:val="single" w:sz="4" w:space="0" w:color="auto"/>
            </w:tcBorders>
          </w:tcPr>
          <w:p w:rsidR="00153F2F" w:rsidRDefault="00153F2F">
            <w:pPr>
              <w:widowControl w:val="0"/>
              <w:spacing w:after="0"/>
              <w:ind w:firstLine="0"/>
              <w:jc w:val="center"/>
              <w:rPr>
                <w:sz w:val="16"/>
                <w:szCs w:val="16"/>
              </w:rPr>
            </w:pPr>
          </w:p>
        </w:tc>
        <w:tc>
          <w:tcPr>
            <w:tcW w:w="850" w:type="dxa"/>
            <w:vMerge/>
            <w:tcBorders>
              <w:top w:val="nil"/>
              <w:left w:val="single" w:sz="4" w:space="0" w:color="auto"/>
              <w:bottom w:val="nil"/>
              <w:right w:val="single" w:sz="4" w:space="0" w:color="auto"/>
            </w:tcBorders>
            <w:vAlign w:val="center"/>
          </w:tcPr>
          <w:p w:rsidR="00153F2F" w:rsidRDefault="00153F2F">
            <w:pPr>
              <w:widowControl w:val="0"/>
              <w:spacing w:after="0"/>
              <w:ind w:firstLine="0"/>
              <w:jc w:val="left"/>
              <w:rPr>
                <w:sz w:val="16"/>
                <w:szCs w:val="16"/>
              </w:rPr>
            </w:pPr>
          </w:p>
        </w:tc>
        <w:tc>
          <w:tcPr>
            <w:tcW w:w="1418" w:type="dxa"/>
            <w:tcBorders>
              <w:top w:val="single" w:sz="4" w:space="0" w:color="auto"/>
              <w:left w:val="single" w:sz="4" w:space="0" w:color="auto"/>
              <w:bottom w:val="nil"/>
              <w:right w:val="single" w:sz="4" w:space="0" w:color="auto"/>
            </w:tcBorders>
            <w:vAlign w:val="center"/>
          </w:tcPr>
          <w:p w:rsidR="00153F2F" w:rsidRDefault="00604D51">
            <w:pPr>
              <w:widowControl w:val="0"/>
              <w:spacing w:after="0"/>
              <w:ind w:firstLine="0"/>
              <w:jc w:val="left"/>
              <w:rPr>
                <w:sz w:val="16"/>
                <w:szCs w:val="16"/>
              </w:rPr>
            </w:pPr>
            <w:r>
              <w:rPr>
                <w:sz w:val="16"/>
                <w:szCs w:val="16"/>
              </w:rPr>
              <w:t>9040 Magas inert gáz tartalmú szénhidrogén földgáz</w:t>
            </w:r>
          </w:p>
        </w:tc>
      </w:tr>
      <w:tr w:rsidR="00153F2F">
        <w:trPr>
          <w:cantSplit/>
        </w:trPr>
        <w:tc>
          <w:tcPr>
            <w:tcW w:w="638" w:type="dxa"/>
            <w:tcBorders>
              <w:top w:val="single" w:sz="4" w:space="0" w:color="auto"/>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106</w:t>
            </w:r>
          </w:p>
        </w:tc>
        <w:tc>
          <w:tcPr>
            <w:tcW w:w="1701"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3119" w:type="dxa"/>
            <w:vMerge/>
            <w:tcBorders>
              <w:top w:val="nil"/>
              <w:left w:val="single" w:sz="4" w:space="0" w:color="auto"/>
              <w:bottom w:val="single" w:sz="4" w:space="0" w:color="auto"/>
              <w:right w:val="single" w:sz="4" w:space="0" w:color="auto"/>
            </w:tcBorders>
            <w:vAlign w:val="center"/>
          </w:tcPr>
          <w:p w:rsidR="00153F2F" w:rsidRDefault="00153F2F">
            <w:pPr>
              <w:widowControl w:val="0"/>
              <w:spacing w:after="0"/>
              <w:ind w:firstLine="0"/>
              <w:jc w:val="left"/>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2. Széndioxid földgáz</w:t>
            </w:r>
          </w:p>
        </w:tc>
        <w:tc>
          <w:tcPr>
            <w:tcW w:w="2268" w:type="dxa"/>
            <w:tcBorders>
              <w:top w:val="single" w:sz="4" w:space="0" w:color="auto"/>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Olyan inert földgáz, amely CO2 tartalma legalább 60%, és fűtőértéke nem éri el a 12 MJ/m3-t.</w:t>
            </w:r>
          </w:p>
        </w:tc>
        <w:tc>
          <w:tcPr>
            <w:tcW w:w="709" w:type="dxa"/>
            <w:tcBorders>
              <w:top w:val="single" w:sz="4" w:space="0" w:color="auto"/>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2142</w:t>
            </w:r>
          </w:p>
        </w:tc>
        <w:tc>
          <w:tcPr>
            <w:tcW w:w="1701" w:type="dxa"/>
            <w:tcBorders>
              <w:top w:val="single" w:sz="4" w:space="0" w:color="auto"/>
              <w:left w:val="single" w:sz="4" w:space="0" w:color="auto"/>
              <w:bottom w:val="single" w:sz="4" w:space="0" w:color="auto"/>
              <w:right w:val="single" w:sz="4" w:space="0" w:color="auto"/>
            </w:tcBorders>
            <w:vAlign w:val="center"/>
          </w:tcPr>
          <w:p w:rsidR="00153F2F" w:rsidRDefault="00604D51">
            <w:pPr>
              <w:widowControl w:val="0"/>
              <w:spacing w:after="0"/>
              <w:ind w:firstLine="0"/>
              <w:jc w:val="center"/>
              <w:rPr>
                <w:sz w:val="16"/>
                <w:szCs w:val="16"/>
              </w:rPr>
            </w:pPr>
            <w:r>
              <w:rPr>
                <w:sz w:val="16"/>
                <w:szCs w:val="16"/>
              </w:rPr>
              <w:t>3 900</w:t>
            </w:r>
          </w:p>
        </w:tc>
        <w:tc>
          <w:tcPr>
            <w:tcW w:w="850" w:type="dxa"/>
            <w:tcBorders>
              <w:top w:val="single" w:sz="4" w:space="0" w:color="auto"/>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Ft/Em3</w:t>
            </w:r>
          </w:p>
        </w:tc>
        <w:tc>
          <w:tcPr>
            <w:tcW w:w="1418" w:type="dxa"/>
            <w:tcBorders>
              <w:top w:val="single" w:sz="4" w:space="0" w:color="auto"/>
              <w:left w:val="single" w:sz="4" w:space="0" w:color="auto"/>
              <w:bottom w:val="single" w:sz="4" w:space="0" w:color="auto"/>
              <w:right w:val="single" w:sz="4" w:space="0" w:color="auto"/>
            </w:tcBorders>
            <w:vAlign w:val="center"/>
          </w:tcPr>
          <w:p w:rsidR="00153F2F" w:rsidRDefault="00604D51">
            <w:pPr>
              <w:widowControl w:val="0"/>
              <w:spacing w:after="0"/>
              <w:ind w:firstLine="0"/>
              <w:jc w:val="left"/>
              <w:rPr>
                <w:sz w:val="16"/>
                <w:szCs w:val="16"/>
              </w:rPr>
            </w:pPr>
            <w:r>
              <w:rPr>
                <w:sz w:val="16"/>
                <w:szCs w:val="16"/>
              </w:rPr>
              <w:t>9400 Széndioxid földgáz</w:t>
            </w:r>
          </w:p>
        </w:tc>
      </w:tr>
      <w:tr w:rsidR="00A26D52" w:rsidTr="00A26D52">
        <w:trPr>
          <w:cantSplit/>
          <w:trHeight w:val="1275"/>
        </w:trPr>
        <w:tc>
          <w:tcPr>
            <w:tcW w:w="638" w:type="dxa"/>
            <w:tcBorders>
              <w:top w:val="nil"/>
              <w:left w:val="single" w:sz="4" w:space="0" w:color="auto"/>
              <w:bottom w:val="single" w:sz="4" w:space="0" w:color="auto"/>
              <w:right w:val="single" w:sz="4" w:space="0" w:color="auto"/>
            </w:tcBorders>
            <w:vAlign w:val="center"/>
          </w:tcPr>
          <w:p w:rsidR="00A26D52" w:rsidRDefault="00A26D52">
            <w:pPr>
              <w:widowControl w:val="0"/>
              <w:spacing w:after="0"/>
              <w:ind w:firstLine="0"/>
              <w:jc w:val="center"/>
              <w:rPr>
                <w:sz w:val="16"/>
                <w:szCs w:val="16"/>
              </w:rPr>
            </w:pPr>
            <w:r>
              <w:rPr>
                <w:sz w:val="16"/>
                <w:szCs w:val="16"/>
              </w:rPr>
              <w:t>107</w:t>
            </w:r>
          </w:p>
        </w:tc>
        <w:tc>
          <w:tcPr>
            <w:tcW w:w="1701" w:type="dxa"/>
            <w:tcBorders>
              <w:top w:val="nil"/>
              <w:left w:val="single" w:sz="4" w:space="0" w:color="auto"/>
              <w:bottom w:val="single" w:sz="4" w:space="0" w:color="auto"/>
              <w:right w:val="single" w:sz="4" w:space="0" w:color="auto"/>
            </w:tcBorders>
            <w:vAlign w:val="center"/>
          </w:tcPr>
          <w:p w:rsidR="00A26D52" w:rsidRPr="00A26D52" w:rsidRDefault="00A26D52" w:rsidP="00A26D52">
            <w:pPr>
              <w:widowControl w:val="0"/>
              <w:spacing w:after="0"/>
              <w:ind w:firstLine="0"/>
              <w:jc w:val="left"/>
              <w:rPr>
                <w:b/>
                <w:bCs/>
                <w:sz w:val="16"/>
                <w:szCs w:val="16"/>
              </w:rPr>
            </w:pPr>
            <w:r w:rsidRPr="00A26D52">
              <w:rPr>
                <w:b/>
                <w:bCs/>
                <w:sz w:val="16"/>
                <w:szCs w:val="16"/>
              </w:rPr>
              <w:t>13. Geotermikus energia</w:t>
            </w:r>
          </w:p>
          <w:p w:rsidR="00A26D52" w:rsidRPr="00A26D52" w:rsidRDefault="00A26D52" w:rsidP="00A26D52">
            <w:pPr>
              <w:suppressAutoHyphens/>
              <w:spacing w:after="0"/>
              <w:ind w:firstLine="0"/>
              <w:textAlignment w:val="center"/>
              <w:rPr>
                <w:sz w:val="16"/>
                <w:szCs w:val="16"/>
              </w:rPr>
            </w:pPr>
            <w:r w:rsidRPr="00A26D52">
              <w:rPr>
                <w:sz w:val="16"/>
                <w:szCs w:val="16"/>
              </w:rPr>
              <w:t>A földkéreg belső energiája</w:t>
            </w:r>
          </w:p>
        </w:tc>
        <w:tc>
          <w:tcPr>
            <w:tcW w:w="1276" w:type="dxa"/>
            <w:tcBorders>
              <w:top w:val="nil"/>
              <w:left w:val="single" w:sz="4" w:space="0" w:color="auto"/>
              <w:bottom w:val="single" w:sz="4" w:space="0" w:color="auto"/>
              <w:right w:val="single" w:sz="4" w:space="0" w:color="auto"/>
            </w:tcBorders>
            <w:vAlign w:val="center"/>
          </w:tcPr>
          <w:p w:rsidR="00A26D52" w:rsidRPr="00A26D52" w:rsidRDefault="00A26D52" w:rsidP="00A26D52">
            <w:pPr>
              <w:widowControl w:val="0"/>
              <w:spacing w:after="0"/>
              <w:ind w:firstLine="0"/>
              <w:jc w:val="left"/>
              <w:rPr>
                <w:b/>
                <w:bCs/>
                <w:sz w:val="16"/>
                <w:szCs w:val="16"/>
              </w:rPr>
            </w:pPr>
            <w:r w:rsidRPr="00A26D52">
              <w:rPr>
                <w:b/>
                <w:bCs/>
                <w:sz w:val="16"/>
                <w:szCs w:val="16"/>
              </w:rPr>
              <w:t xml:space="preserve">1. Geotermikus energia </w:t>
            </w:r>
          </w:p>
        </w:tc>
        <w:tc>
          <w:tcPr>
            <w:tcW w:w="3119" w:type="dxa"/>
            <w:tcBorders>
              <w:top w:val="nil"/>
              <w:left w:val="single" w:sz="4" w:space="0" w:color="auto"/>
              <w:bottom w:val="single" w:sz="4" w:space="0" w:color="auto"/>
              <w:right w:val="single" w:sz="4" w:space="0" w:color="auto"/>
            </w:tcBorders>
            <w:vAlign w:val="center"/>
          </w:tcPr>
          <w:p w:rsidR="00A26D52" w:rsidRPr="00A26D52" w:rsidRDefault="00A26D52" w:rsidP="00A26D52">
            <w:pPr>
              <w:widowControl w:val="0"/>
              <w:spacing w:after="0"/>
              <w:ind w:firstLine="0"/>
              <w:jc w:val="left"/>
              <w:rPr>
                <w:sz w:val="16"/>
                <w:szCs w:val="16"/>
              </w:rPr>
            </w:pPr>
            <w:r w:rsidRPr="00A26D52">
              <w:rPr>
                <w:sz w:val="16"/>
                <w:szCs w:val="16"/>
              </w:rPr>
              <w:t xml:space="preserve">A földkéreg belső hőenergiája, amely energetikai céllal hasznosítható, a geotermikus energiahordozók közvetlen földkéregből való kitermelésével vagy </w:t>
            </w:r>
            <w:proofErr w:type="spellStart"/>
            <w:r w:rsidRPr="00A26D52">
              <w:rPr>
                <w:sz w:val="16"/>
                <w:szCs w:val="16"/>
              </w:rPr>
              <w:t>recirkuláltatásával</w:t>
            </w:r>
            <w:proofErr w:type="spellEnd"/>
            <w:r w:rsidRPr="00A26D52">
              <w:rPr>
                <w:sz w:val="16"/>
                <w:szCs w:val="16"/>
              </w:rPr>
              <w:t>.</w:t>
            </w:r>
          </w:p>
        </w:tc>
        <w:tc>
          <w:tcPr>
            <w:tcW w:w="1417" w:type="dxa"/>
            <w:tcBorders>
              <w:top w:val="nil"/>
              <w:left w:val="nil"/>
              <w:bottom w:val="single" w:sz="4" w:space="0" w:color="auto"/>
              <w:right w:val="single" w:sz="4" w:space="0" w:color="auto"/>
            </w:tcBorders>
            <w:vAlign w:val="center"/>
          </w:tcPr>
          <w:p w:rsidR="00A26D52" w:rsidRPr="00A26D52" w:rsidRDefault="00A26D52" w:rsidP="00717B05">
            <w:pPr>
              <w:spacing w:after="0"/>
              <w:rPr>
                <w:sz w:val="16"/>
                <w:szCs w:val="16"/>
              </w:rPr>
            </w:pPr>
          </w:p>
        </w:tc>
        <w:tc>
          <w:tcPr>
            <w:tcW w:w="2268" w:type="dxa"/>
            <w:tcBorders>
              <w:top w:val="nil"/>
              <w:left w:val="nil"/>
              <w:bottom w:val="single" w:sz="4" w:space="0" w:color="auto"/>
              <w:right w:val="single" w:sz="4" w:space="0" w:color="auto"/>
            </w:tcBorders>
            <w:vAlign w:val="center"/>
          </w:tcPr>
          <w:p w:rsidR="00A26D52" w:rsidRPr="00A26D52" w:rsidRDefault="00A26D52" w:rsidP="00717B05">
            <w:pPr>
              <w:spacing w:after="0"/>
              <w:rPr>
                <w:sz w:val="16"/>
                <w:szCs w:val="16"/>
              </w:rPr>
            </w:pPr>
          </w:p>
        </w:tc>
        <w:tc>
          <w:tcPr>
            <w:tcW w:w="709" w:type="dxa"/>
            <w:tcBorders>
              <w:top w:val="nil"/>
              <w:left w:val="nil"/>
              <w:bottom w:val="single" w:sz="4" w:space="0" w:color="auto"/>
              <w:right w:val="single" w:sz="4" w:space="0" w:color="auto"/>
            </w:tcBorders>
            <w:vAlign w:val="center"/>
          </w:tcPr>
          <w:p w:rsidR="00A26D52" w:rsidRPr="00A26D52" w:rsidRDefault="00A26D52" w:rsidP="00A26D52">
            <w:pPr>
              <w:widowControl w:val="0"/>
              <w:spacing w:after="0"/>
              <w:ind w:firstLine="0"/>
              <w:jc w:val="center"/>
              <w:rPr>
                <w:sz w:val="16"/>
                <w:szCs w:val="16"/>
              </w:rPr>
            </w:pPr>
            <w:r w:rsidRPr="00A26D52">
              <w:rPr>
                <w:sz w:val="16"/>
                <w:szCs w:val="16"/>
              </w:rPr>
              <w:t>2211</w:t>
            </w:r>
          </w:p>
        </w:tc>
        <w:tc>
          <w:tcPr>
            <w:tcW w:w="1701" w:type="dxa"/>
            <w:tcBorders>
              <w:top w:val="nil"/>
              <w:left w:val="nil"/>
              <w:bottom w:val="single" w:sz="4" w:space="0" w:color="auto"/>
              <w:right w:val="single" w:sz="4" w:space="0" w:color="auto"/>
            </w:tcBorders>
            <w:vAlign w:val="center"/>
          </w:tcPr>
          <w:p w:rsidR="00A26D52" w:rsidRPr="00A26D52" w:rsidRDefault="00A26D52" w:rsidP="00A26D52">
            <w:pPr>
              <w:widowControl w:val="0"/>
              <w:spacing w:after="0"/>
              <w:ind w:firstLine="0"/>
              <w:jc w:val="center"/>
              <w:rPr>
                <w:sz w:val="16"/>
                <w:szCs w:val="16"/>
              </w:rPr>
            </w:pPr>
            <w:r w:rsidRPr="00A26D52">
              <w:rPr>
                <w:sz w:val="16"/>
                <w:szCs w:val="16"/>
              </w:rPr>
              <w:t>2000</w:t>
            </w:r>
          </w:p>
        </w:tc>
        <w:tc>
          <w:tcPr>
            <w:tcW w:w="850" w:type="dxa"/>
            <w:tcBorders>
              <w:top w:val="nil"/>
              <w:left w:val="nil"/>
              <w:bottom w:val="single" w:sz="4" w:space="0" w:color="auto"/>
              <w:right w:val="single" w:sz="4" w:space="0" w:color="auto"/>
            </w:tcBorders>
            <w:vAlign w:val="center"/>
          </w:tcPr>
          <w:p w:rsidR="00A26D52" w:rsidRPr="00A26D52" w:rsidRDefault="00A26D52" w:rsidP="00A26D52">
            <w:pPr>
              <w:widowControl w:val="0"/>
              <w:spacing w:after="0"/>
              <w:ind w:firstLine="0"/>
              <w:jc w:val="center"/>
              <w:rPr>
                <w:sz w:val="16"/>
                <w:szCs w:val="16"/>
              </w:rPr>
            </w:pPr>
            <w:r w:rsidRPr="00A26D52">
              <w:rPr>
                <w:sz w:val="16"/>
                <w:szCs w:val="16"/>
              </w:rPr>
              <w:t>Ft/GJ</w:t>
            </w:r>
          </w:p>
        </w:tc>
        <w:tc>
          <w:tcPr>
            <w:tcW w:w="1418" w:type="dxa"/>
            <w:tcBorders>
              <w:top w:val="nil"/>
              <w:left w:val="nil"/>
              <w:bottom w:val="single" w:sz="4" w:space="0" w:color="auto"/>
              <w:right w:val="single" w:sz="4" w:space="0" w:color="auto"/>
            </w:tcBorders>
            <w:vAlign w:val="center"/>
          </w:tcPr>
          <w:p w:rsidR="00A26D52" w:rsidRPr="00A26D52" w:rsidRDefault="00A26D52" w:rsidP="00A26D52">
            <w:pPr>
              <w:widowControl w:val="0"/>
              <w:spacing w:after="0"/>
              <w:ind w:firstLine="0"/>
              <w:jc w:val="left"/>
              <w:rPr>
                <w:sz w:val="16"/>
                <w:szCs w:val="16"/>
              </w:rPr>
            </w:pPr>
            <w:r w:rsidRPr="00A26D52">
              <w:rPr>
                <w:sz w:val="16"/>
                <w:szCs w:val="16"/>
              </w:rPr>
              <w:t>2100 Geotermikus energiahordozó kitermelésével nyert geotermikus energia</w:t>
            </w:r>
          </w:p>
          <w:p w:rsidR="00A26D52" w:rsidRPr="00A26D52" w:rsidRDefault="00A26D52" w:rsidP="00A26D52">
            <w:pPr>
              <w:widowControl w:val="0"/>
              <w:spacing w:after="0"/>
              <w:ind w:firstLine="0"/>
              <w:jc w:val="left"/>
              <w:rPr>
                <w:sz w:val="16"/>
                <w:szCs w:val="16"/>
              </w:rPr>
            </w:pPr>
            <w:r w:rsidRPr="00A26D52">
              <w:rPr>
                <w:sz w:val="16"/>
                <w:szCs w:val="16"/>
              </w:rPr>
              <w:t xml:space="preserve">2200 </w:t>
            </w:r>
            <w:proofErr w:type="spellStart"/>
            <w:r w:rsidRPr="00A26D52">
              <w:rPr>
                <w:sz w:val="16"/>
                <w:szCs w:val="16"/>
              </w:rPr>
              <w:t>Hőközvetítő</w:t>
            </w:r>
            <w:proofErr w:type="spellEnd"/>
            <w:r w:rsidRPr="00A26D52">
              <w:rPr>
                <w:sz w:val="16"/>
                <w:szCs w:val="16"/>
              </w:rPr>
              <w:t xml:space="preserve"> anyag </w:t>
            </w:r>
            <w:proofErr w:type="spellStart"/>
            <w:r w:rsidRPr="00A26D52">
              <w:rPr>
                <w:sz w:val="16"/>
                <w:szCs w:val="16"/>
              </w:rPr>
              <w:t>recirkulációjával</w:t>
            </w:r>
            <w:proofErr w:type="spellEnd"/>
            <w:r w:rsidRPr="00A26D52">
              <w:rPr>
                <w:sz w:val="16"/>
                <w:szCs w:val="16"/>
              </w:rPr>
              <w:t xml:space="preserve"> nyert geotermikus energia</w:t>
            </w:r>
          </w:p>
        </w:tc>
      </w:tr>
      <w:tr w:rsidR="00A26D52" w:rsidTr="00A26D52">
        <w:trPr>
          <w:cantSplit/>
          <w:trHeight w:val="349"/>
        </w:trPr>
        <w:tc>
          <w:tcPr>
            <w:tcW w:w="638" w:type="dxa"/>
            <w:tcBorders>
              <w:top w:val="nil"/>
              <w:left w:val="single" w:sz="4" w:space="0" w:color="auto"/>
              <w:bottom w:val="single" w:sz="4" w:space="0" w:color="auto"/>
              <w:right w:val="single" w:sz="4" w:space="0" w:color="auto"/>
            </w:tcBorders>
            <w:vAlign w:val="center"/>
          </w:tcPr>
          <w:p w:rsidR="00A26D52" w:rsidRDefault="00A26D52">
            <w:pPr>
              <w:widowControl w:val="0"/>
              <w:spacing w:after="0"/>
              <w:ind w:firstLine="0"/>
              <w:jc w:val="center"/>
              <w:rPr>
                <w:sz w:val="16"/>
                <w:szCs w:val="16"/>
              </w:rPr>
            </w:pPr>
            <w:r>
              <w:rPr>
                <w:sz w:val="16"/>
                <w:szCs w:val="16"/>
              </w:rPr>
              <w:t>108</w:t>
            </w:r>
          </w:p>
        </w:tc>
        <w:tc>
          <w:tcPr>
            <w:tcW w:w="1701" w:type="dxa"/>
            <w:tcBorders>
              <w:top w:val="nil"/>
              <w:left w:val="single" w:sz="4" w:space="0" w:color="auto"/>
              <w:bottom w:val="single" w:sz="4" w:space="0" w:color="auto"/>
              <w:right w:val="single" w:sz="4" w:space="0" w:color="auto"/>
            </w:tcBorders>
            <w:vAlign w:val="center"/>
          </w:tcPr>
          <w:p w:rsidR="00A26D52" w:rsidRDefault="00A26D52">
            <w:pPr>
              <w:widowControl w:val="0"/>
              <w:spacing w:after="0"/>
              <w:ind w:firstLine="0"/>
              <w:jc w:val="left"/>
              <w:rPr>
                <w:sz w:val="16"/>
                <w:szCs w:val="16"/>
              </w:rPr>
            </w:pPr>
          </w:p>
        </w:tc>
        <w:tc>
          <w:tcPr>
            <w:tcW w:w="1276" w:type="dxa"/>
            <w:tcBorders>
              <w:top w:val="nil"/>
              <w:left w:val="single" w:sz="4" w:space="0" w:color="auto"/>
              <w:bottom w:val="single" w:sz="4" w:space="0" w:color="auto"/>
              <w:right w:val="single" w:sz="4" w:space="0" w:color="auto"/>
            </w:tcBorders>
            <w:vAlign w:val="center"/>
          </w:tcPr>
          <w:p w:rsidR="00A26D52" w:rsidRDefault="00A26D52">
            <w:pPr>
              <w:widowControl w:val="0"/>
              <w:spacing w:after="0"/>
              <w:ind w:firstLine="0"/>
              <w:jc w:val="left"/>
              <w:rPr>
                <w:b/>
                <w:bCs/>
                <w:sz w:val="16"/>
                <w:szCs w:val="16"/>
              </w:rPr>
            </w:pPr>
          </w:p>
        </w:tc>
        <w:tc>
          <w:tcPr>
            <w:tcW w:w="3119" w:type="dxa"/>
            <w:tcBorders>
              <w:top w:val="nil"/>
              <w:left w:val="single" w:sz="4" w:space="0" w:color="auto"/>
              <w:bottom w:val="single" w:sz="4" w:space="0" w:color="auto"/>
              <w:right w:val="single" w:sz="4" w:space="0" w:color="auto"/>
            </w:tcBorders>
            <w:vAlign w:val="center"/>
          </w:tcPr>
          <w:p w:rsidR="00A26D52" w:rsidRDefault="00A26D52">
            <w:pPr>
              <w:widowControl w:val="0"/>
              <w:spacing w:after="0"/>
              <w:ind w:firstLine="0"/>
              <w:jc w:val="left"/>
              <w:rPr>
                <w:sz w:val="16"/>
                <w:szCs w:val="16"/>
              </w:rPr>
            </w:pPr>
          </w:p>
        </w:tc>
        <w:tc>
          <w:tcPr>
            <w:tcW w:w="1417" w:type="dxa"/>
            <w:tcBorders>
              <w:top w:val="nil"/>
              <w:left w:val="nil"/>
              <w:bottom w:val="single" w:sz="4" w:space="0" w:color="auto"/>
              <w:right w:val="single" w:sz="4" w:space="0" w:color="auto"/>
            </w:tcBorders>
            <w:vAlign w:val="center"/>
          </w:tcPr>
          <w:p w:rsidR="00A26D52" w:rsidRDefault="00A26D52">
            <w:pPr>
              <w:widowControl w:val="0"/>
              <w:spacing w:after="0"/>
              <w:ind w:firstLine="0"/>
              <w:jc w:val="left"/>
              <w:rPr>
                <w:b/>
                <w:bCs/>
                <w:sz w:val="16"/>
                <w:szCs w:val="16"/>
              </w:rPr>
            </w:pPr>
          </w:p>
        </w:tc>
        <w:tc>
          <w:tcPr>
            <w:tcW w:w="2268" w:type="dxa"/>
            <w:tcBorders>
              <w:top w:val="nil"/>
              <w:left w:val="nil"/>
              <w:bottom w:val="single" w:sz="4" w:space="0" w:color="auto"/>
              <w:right w:val="single" w:sz="4" w:space="0" w:color="auto"/>
            </w:tcBorders>
            <w:vAlign w:val="center"/>
          </w:tcPr>
          <w:p w:rsidR="00A26D52" w:rsidRDefault="00A26D52">
            <w:pPr>
              <w:widowControl w:val="0"/>
              <w:spacing w:after="0"/>
              <w:ind w:firstLine="0"/>
              <w:jc w:val="left"/>
              <w:rPr>
                <w:b/>
                <w:bCs/>
                <w:sz w:val="16"/>
                <w:szCs w:val="16"/>
              </w:rPr>
            </w:pPr>
          </w:p>
        </w:tc>
        <w:tc>
          <w:tcPr>
            <w:tcW w:w="709" w:type="dxa"/>
            <w:tcBorders>
              <w:top w:val="nil"/>
              <w:left w:val="nil"/>
              <w:bottom w:val="single" w:sz="4" w:space="0" w:color="auto"/>
              <w:right w:val="single" w:sz="4" w:space="0" w:color="auto"/>
            </w:tcBorders>
            <w:vAlign w:val="center"/>
          </w:tcPr>
          <w:p w:rsidR="00A26D52" w:rsidRDefault="00A26D52">
            <w:pPr>
              <w:widowControl w:val="0"/>
              <w:spacing w:after="0"/>
              <w:ind w:firstLine="0"/>
              <w:jc w:val="center"/>
              <w:rPr>
                <w:sz w:val="16"/>
                <w:szCs w:val="16"/>
              </w:rPr>
            </w:pPr>
          </w:p>
        </w:tc>
        <w:tc>
          <w:tcPr>
            <w:tcW w:w="1701" w:type="dxa"/>
            <w:tcBorders>
              <w:top w:val="nil"/>
              <w:left w:val="nil"/>
              <w:bottom w:val="single" w:sz="4" w:space="0" w:color="auto"/>
              <w:right w:val="single" w:sz="4" w:space="0" w:color="auto"/>
            </w:tcBorders>
            <w:vAlign w:val="center"/>
          </w:tcPr>
          <w:p w:rsidR="00A26D52" w:rsidRDefault="00A26D52">
            <w:pPr>
              <w:widowControl w:val="0"/>
              <w:spacing w:after="0"/>
              <w:ind w:firstLine="0"/>
              <w:jc w:val="center"/>
              <w:rPr>
                <w:sz w:val="16"/>
                <w:szCs w:val="16"/>
              </w:rPr>
            </w:pPr>
          </w:p>
        </w:tc>
        <w:tc>
          <w:tcPr>
            <w:tcW w:w="850" w:type="dxa"/>
            <w:tcBorders>
              <w:top w:val="nil"/>
              <w:left w:val="nil"/>
              <w:bottom w:val="single" w:sz="4" w:space="0" w:color="auto"/>
              <w:right w:val="single" w:sz="4" w:space="0" w:color="auto"/>
            </w:tcBorders>
            <w:vAlign w:val="center"/>
          </w:tcPr>
          <w:p w:rsidR="00A26D52" w:rsidRDefault="00A26D52">
            <w:pPr>
              <w:widowControl w:val="0"/>
              <w:spacing w:after="0"/>
              <w:ind w:firstLine="0"/>
              <w:jc w:val="center"/>
              <w:rPr>
                <w:sz w:val="16"/>
                <w:szCs w:val="16"/>
              </w:rPr>
            </w:pPr>
          </w:p>
        </w:tc>
        <w:tc>
          <w:tcPr>
            <w:tcW w:w="1418" w:type="dxa"/>
            <w:tcBorders>
              <w:top w:val="nil"/>
              <w:left w:val="nil"/>
              <w:bottom w:val="single" w:sz="4" w:space="0" w:color="auto"/>
              <w:right w:val="single" w:sz="4" w:space="0" w:color="auto"/>
            </w:tcBorders>
            <w:vAlign w:val="center"/>
          </w:tcPr>
          <w:p w:rsidR="00A26D52" w:rsidRDefault="00A26D52">
            <w:pPr>
              <w:widowControl w:val="0"/>
              <w:spacing w:after="0"/>
              <w:ind w:firstLine="0"/>
              <w:jc w:val="left"/>
              <w:rPr>
                <w:sz w:val="16"/>
                <w:szCs w:val="16"/>
              </w:rPr>
            </w:pPr>
          </w:p>
        </w:tc>
      </w:tr>
      <w:tr w:rsidR="00A26D52">
        <w:tblPrEx>
          <w:tblCellMar>
            <w:left w:w="71" w:type="dxa"/>
            <w:right w:w="71" w:type="dxa"/>
          </w:tblCellMar>
        </w:tblPrEx>
        <w:trPr>
          <w:cantSplit/>
          <w:trHeight w:val="60"/>
        </w:trPr>
        <w:tc>
          <w:tcPr>
            <w:tcW w:w="638"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before="40" w:line="260" w:lineRule="atLeast"/>
              <w:ind w:firstLine="0"/>
              <w:jc w:val="center"/>
              <w:rPr>
                <w:sz w:val="16"/>
                <w:szCs w:val="16"/>
              </w:rPr>
            </w:pPr>
            <w:r>
              <w:rPr>
                <w:sz w:val="16"/>
                <w:szCs w:val="16"/>
              </w:rPr>
              <w:t>109</w:t>
            </w:r>
          </w:p>
        </w:tc>
        <w:tc>
          <w:tcPr>
            <w:tcW w:w="1701" w:type="dxa"/>
            <w:vMerge w:val="restart"/>
            <w:tcBorders>
              <w:top w:val="single" w:sz="2" w:space="0" w:color="auto"/>
              <w:left w:val="single" w:sz="2" w:space="0" w:color="auto"/>
              <w:bottom w:val="nil"/>
              <w:right w:val="single" w:sz="2" w:space="0" w:color="auto"/>
            </w:tcBorders>
            <w:vAlign w:val="center"/>
          </w:tcPr>
          <w:p w:rsidR="00A26D52" w:rsidRDefault="00A26D52">
            <w:pPr>
              <w:widowControl w:val="0"/>
              <w:spacing w:after="0"/>
              <w:ind w:firstLine="0"/>
              <w:jc w:val="left"/>
              <w:rPr>
                <w:b/>
                <w:bCs/>
                <w:sz w:val="16"/>
                <w:szCs w:val="16"/>
              </w:rPr>
            </w:pPr>
            <w:r>
              <w:rPr>
                <w:b/>
                <w:bCs/>
                <w:sz w:val="16"/>
                <w:szCs w:val="16"/>
              </w:rPr>
              <w:t>14. Egyéb nyersanyagok</w:t>
            </w:r>
          </w:p>
        </w:tc>
        <w:tc>
          <w:tcPr>
            <w:tcW w:w="1276" w:type="dxa"/>
            <w:vMerge w:val="restart"/>
            <w:tcBorders>
              <w:top w:val="single" w:sz="2" w:space="0" w:color="auto"/>
              <w:left w:val="single" w:sz="2" w:space="0" w:color="auto"/>
              <w:bottom w:val="nil"/>
              <w:right w:val="single" w:sz="2" w:space="0" w:color="auto"/>
            </w:tcBorders>
            <w:vAlign w:val="center"/>
          </w:tcPr>
          <w:p w:rsidR="00A26D52" w:rsidRDefault="00A26D52">
            <w:pPr>
              <w:widowControl w:val="0"/>
              <w:spacing w:after="0"/>
              <w:ind w:firstLine="0"/>
              <w:jc w:val="left"/>
              <w:rPr>
                <w:b/>
                <w:bCs/>
                <w:sz w:val="16"/>
                <w:szCs w:val="16"/>
              </w:rPr>
            </w:pPr>
            <w:r>
              <w:rPr>
                <w:b/>
                <w:bCs/>
                <w:sz w:val="16"/>
                <w:szCs w:val="16"/>
              </w:rPr>
              <w:t>1. Vegyes, kevert nyersanyagok</w:t>
            </w:r>
          </w:p>
        </w:tc>
        <w:tc>
          <w:tcPr>
            <w:tcW w:w="3119" w:type="dxa"/>
            <w:vMerge w:val="restart"/>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after="0"/>
              <w:ind w:firstLine="0"/>
              <w:jc w:val="left"/>
              <w:rPr>
                <w:sz w:val="16"/>
                <w:szCs w:val="16"/>
              </w:rPr>
            </w:pPr>
            <w:r>
              <w:rPr>
                <w:sz w:val="16"/>
                <w:szCs w:val="16"/>
              </w:rPr>
              <w:t>Azon ásványi (nyers</w:t>
            </w:r>
            <w:proofErr w:type="gramStart"/>
            <w:r>
              <w:rPr>
                <w:sz w:val="16"/>
                <w:szCs w:val="16"/>
              </w:rPr>
              <w:t>)anyagok</w:t>
            </w:r>
            <w:proofErr w:type="gramEnd"/>
            <w:r>
              <w:rPr>
                <w:sz w:val="16"/>
                <w:szCs w:val="16"/>
              </w:rPr>
              <w:t>, melyek vegyes, kevert összetételük révén az 1–101. sorszám egyikébe sem sorolhatók be.</w:t>
            </w:r>
          </w:p>
        </w:tc>
        <w:tc>
          <w:tcPr>
            <w:tcW w:w="1417"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after="0"/>
              <w:ind w:firstLine="0"/>
              <w:jc w:val="left"/>
              <w:rPr>
                <w:b/>
                <w:bCs/>
                <w:sz w:val="16"/>
                <w:szCs w:val="16"/>
              </w:rPr>
            </w:pPr>
            <w:r>
              <w:rPr>
                <w:b/>
                <w:bCs/>
                <w:sz w:val="16"/>
                <w:szCs w:val="16"/>
              </w:rPr>
              <w:t>1. Kevert ásványi nyersanyag I.</w:t>
            </w:r>
          </w:p>
        </w:tc>
        <w:tc>
          <w:tcPr>
            <w:tcW w:w="2268"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before="40"/>
              <w:ind w:firstLine="0"/>
              <w:jc w:val="left"/>
              <w:rPr>
                <w:sz w:val="16"/>
                <w:szCs w:val="16"/>
              </w:rPr>
            </w:pPr>
            <w:r>
              <w:rPr>
                <w:sz w:val="16"/>
                <w:szCs w:val="16"/>
              </w:rPr>
              <w:t>Azon ásványi nyersanyag, amely földtani szakértő szakvéleménye alapján a melléklet 34</w:t>
            </w:r>
            <w:proofErr w:type="gramStart"/>
            <w:r>
              <w:rPr>
                <w:sz w:val="16"/>
                <w:szCs w:val="16"/>
              </w:rPr>
              <w:t>.,</w:t>
            </w:r>
            <w:proofErr w:type="gramEnd"/>
            <w:r>
              <w:rPr>
                <w:sz w:val="16"/>
                <w:szCs w:val="16"/>
              </w:rPr>
              <w:t xml:space="preserve"> 36., 41–45. és 63. sorában szereplő nyersanyagot 60%-nál nagyobb mennyiségben tartalmazza.</w:t>
            </w:r>
          </w:p>
        </w:tc>
        <w:tc>
          <w:tcPr>
            <w:tcW w:w="709"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after="0"/>
              <w:ind w:firstLine="0"/>
              <w:jc w:val="center"/>
              <w:rPr>
                <w:sz w:val="16"/>
                <w:szCs w:val="16"/>
              </w:rPr>
            </w:pPr>
            <w:r>
              <w:rPr>
                <w:sz w:val="16"/>
                <w:szCs w:val="16"/>
              </w:rPr>
              <w:t>2311</w:t>
            </w:r>
          </w:p>
        </w:tc>
        <w:tc>
          <w:tcPr>
            <w:tcW w:w="1701"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after="0"/>
              <w:ind w:firstLine="0"/>
              <w:jc w:val="center"/>
              <w:rPr>
                <w:sz w:val="16"/>
                <w:szCs w:val="16"/>
              </w:rPr>
            </w:pPr>
            <w:r>
              <w:rPr>
                <w:sz w:val="16"/>
                <w:szCs w:val="16"/>
              </w:rPr>
              <w:t>Az adott nyersanyagnál megjelölt fajlagos érték</w:t>
            </w:r>
          </w:p>
        </w:tc>
        <w:tc>
          <w:tcPr>
            <w:tcW w:w="850"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after="0" w:line="260" w:lineRule="atLeast"/>
              <w:ind w:firstLine="0"/>
              <w:jc w:val="center"/>
            </w:pPr>
            <w:r>
              <w:t>Ft/m</w:t>
            </w:r>
            <w:r>
              <w:rPr>
                <w:vertAlign w:val="superscript"/>
              </w:rPr>
              <w:t>3</w:t>
            </w:r>
          </w:p>
          <w:p w:rsidR="00A26D52" w:rsidRDefault="00A26D52">
            <w:pPr>
              <w:widowControl w:val="0"/>
              <w:spacing w:after="0" w:line="260" w:lineRule="atLeast"/>
              <w:ind w:firstLine="0"/>
              <w:jc w:val="center"/>
            </w:pPr>
          </w:p>
        </w:tc>
        <w:tc>
          <w:tcPr>
            <w:tcW w:w="1418"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after="0"/>
              <w:ind w:firstLine="0"/>
              <w:jc w:val="left"/>
            </w:pPr>
          </w:p>
        </w:tc>
      </w:tr>
      <w:tr w:rsidR="00A26D52">
        <w:tblPrEx>
          <w:tblCellMar>
            <w:left w:w="71" w:type="dxa"/>
            <w:right w:w="71" w:type="dxa"/>
          </w:tblCellMar>
        </w:tblPrEx>
        <w:trPr>
          <w:cantSplit/>
          <w:trHeight w:val="60"/>
        </w:trPr>
        <w:tc>
          <w:tcPr>
            <w:tcW w:w="638"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before="40" w:line="260" w:lineRule="atLeast"/>
              <w:ind w:firstLine="0"/>
              <w:jc w:val="center"/>
              <w:rPr>
                <w:sz w:val="16"/>
                <w:szCs w:val="16"/>
              </w:rPr>
            </w:pPr>
            <w:r>
              <w:rPr>
                <w:sz w:val="16"/>
                <w:szCs w:val="16"/>
              </w:rPr>
              <w:t>110</w:t>
            </w:r>
          </w:p>
        </w:tc>
        <w:tc>
          <w:tcPr>
            <w:tcW w:w="1701" w:type="dxa"/>
            <w:vMerge/>
            <w:tcBorders>
              <w:top w:val="nil"/>
              <w:left w:val="single" w:sz="2" w:space="0" w:color="auto"/>
              <w:bottom w:val="nil"/>
              <w:right w:val="single" w:sz="2" w:space="0" w:color="auto"/>
            </w:tcBorders>
          </w:tcPr>
          <w:p w:rsidR="00A26D52" w:rsidRDefault="00A26D52">
            <w:pPr>
              <w:widowControl w:val="0"/>
              <w:spacing w:before="40"/>
              <w:ind w:firstLine="0"/>
              <w:jc w:val="left"/>
              <w:rPr>
                <w:sz w:val="16"/>
                <w:szCs w:val="16"/>
              </w:rPr>
            </w:pPr>
          </w:p>
        </w:tc>
        <w:tc>
          <w:tcPr>
            <w:tcW w:w="1276" w:type="dxa"/>
            <w:vMerge/>
            <w:tcBorders>
              <w:top w:val="nil"/>
              <w:left w:val="single" w:sz="2" w:space="0" w:color="auto"/>
              <w:bottom w:val="nil"/>
              <w:right w:val="single" w:sz="2" w:space="0" w:color="auto"/>
            </w:tcBorders>
          </w:tcPr>
          <w:p w:rsidR="00A26D52" w:rsidRDefault="00A26D52">
            <w:pPr>
              <w:widowControl w:val="0"/>
              <w:spacing w:before="40"/>
              <w:ind w:firstLine="0"/>
              <w:jc w:val="left"/>
              <w:rPr>
                <w:sz w:val="16"/>
                <w:szCs w:val="16"/>
              </w:rPr>
            </w:pPr>
          </w:p>
        </w:tc>
        <w:tc>
          <w:tcPr>
            <w:tcW w:w="3119" w:type="dxa"/>
            <w:vMerge/>
            <w:tcBorders>
              <w:top w:val="single" w:sz="2" w:space="0" w:color="auto"/>
              <w:left w:val="single" w:sz="2" w:space="0" w:color="auto"/>
              <w:bottom w:val="single" w:sz="2" w:space="0" w:color="auto"/>
              <w:right w:val="single" w:sz="2" w:space="0" w:color="auto"/>
            </w:tcBorders>
          </w:tcPr>
          <w:p w:rsidR="00A26D52" w:rsidRDefault="00A26D52">
            <w:pPr>
              <w:widowControl w:val="0"/>
              <w:spacing w:before="40"/>
              <w:ind w:firstLine="0"/>
              <w:jc w:val="left"/>
              <w:rPr>
                <w:sz w:val="16"/>
                <w:szCs w:val="16"/>
              </w:rPr>
            </w:pPr>
          </w:p>
        </w:tc>
        <w:tc>
          <w:tcPr>
            <w:tcW w:w="1417"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after="0"/>
              <w:ind w:firstLine="0"/>
              <w:jc w:val="left"/>
              <w:rPr>
                <w:b/>
                <w:bCs/>
                <w:sz w:val="16"/>
                <w:szCs w:val="16"/>
              </w:rPr>
            </w:pPr>
            <w:r>
              <w:rPr>
                <w:b/>
                <w:bCs/>
                <w:sz w:val="16"/>
                <w:szCs w:val="16"/>
              </w:rPr>
              <w:t>2. Kevert ásványi nyersanyag II.</w:t>
            </w:r>
          </w:p>
        </w:tc>
        <w:tc>
          <w:tcPr>
            <w:tcW w:w="2268"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before="40"/>
              <w:ind w:firstLine="0"/>
              <w:jc w:val="left"/>
              <w:rPr>
                <w:sz w:val="16"/>
                <w:szCs w:val="16"/>
              </w:rPr>
            </w:pPr>
            <w:r>
              <w:rPr>
                <w:sz w:val="16"/>
                <w:szCs w:val="16"/>
              </w:rPr>
              <w:t>Azon ásványi nyersanyag, amely földtani szakértő szakvéleménye alapján a melléklet 34</w:t>
            </w:r>
            <w:proofErr w:type="gramStart"/>
            <w:r>
              <w:rPr>
                <w:sz w:val="16"/>
                <w:szCs w:val="16"/>
              </w:rPr>
              <w:t>.,</w:t>
            </w:r>
            <w:proofErr w:type="gramEnd"/>
            <w:r>
              <w:rPr>
                <w:sz w:val="16"/>
                <w:szCs w:val="16"/>
              </w:rPr>
              <w:t xml:space="preserve"> 36., 41–45. és 63. sorában szereplő nyersanyagot 60%-nál kisebb mennyiségben tartalmazza.</w:t>
            </w:r>
          </w:p>
        </w:tc>
        <w:tc>
          <w:tcPr>
            <w:tcW w:w="709"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after="0"/>
              <w:ind w:firstLine="0"/>
              <w:jc w:val="center"/>
              <w:rPr>
                <w:sz w:val="16"/>
                <w:szCs w:val="16"/>
              </w:rPr>
            </w:pPr>
            <w:r>
              <w:rPr>
                <w:sz w:val="16"/>
                <w:szCs w:val="16"/>
              </w:rPr>
              <w:t>2312</w:t>
            </w:r>
          </w:p>
        </w:tc>
        <w:tc>
          <w:tcPr>
            <w:tcW w:w="1701"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after="0"/>
              <w:ind w:firstLine="0"/>
              <w:jc w:val="center"/>
              <w:rPr>
                <w:sz w:val="16"/>
                <w:szCs w:val="16"/>
              </w:rPr>
            </w:pPr>
            <w:r>
              <w:rPr>
                <w:sz w:val="16"/>
                <w:szCs w:val="16"/>
              </w:rPr>
              <w:t>660</w:t>
            </w:r>
          </w:p>
        </w:tc>
        <w:tc>
          <w:tcPr>
            <w:tcW w:w="850"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after="0" w:line="260" w:lineRule="atLeast"/>
              <w:ind w:firstLine="0"/>
              <w:jc w:val="center"/>
              <w:rPr>
                <w:sz w:val="16"/>
                <w:szCs w:val="16"/>
              </w:rPr>
            </w:pPr>
            <w:r>
              <w:t>Ft/m</w:t>
            </w:r>
            <w:r>
              <w:rPr>
                <w:vertAlign w:val="superscript"/>
              </w:rPr>
              <w:t>3</w:t>
            </w:r>
          </w:p>
        </w:tc>
        <w:tc>
          <w:tcPr>
            <w:tcW w:w="1418"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after="0"/>
              <w:ind w:firstLine="0"/>
              <w:jc w:val="left"/>
              <w:rPr>
                <w:sz w:val="16"/>
                <w:szCs w:val="16"/>
              </w:rPr>
            </w:pPr>
            <w:r>
              <w:rPr>
                <w:sz w:val="16"/>
                <w:szCs w:val="16"/>
              </w:rPr>
              <w:t>0000 Vegyes, kevert és meddő-hányóból nyert nyersanyagok</w:t>
            </w:r>
          </w:p>
        </w:tc>
      </w:tr>
      <w:tr w:rsidR="00A26D52">
        <w:tblPrEx>
          <w:tblCellMar>
            <w:left w:w="71" w:type="dxa"/>
            <w:right w:w="71" w:type="dxa"/>
          </w:tblCellMar>
        </w:tblPrEx>
        <w:trPr>
          <w:cantSplit/>
          <w:trHeight w:val="60"/>
        </w:trPr>
        <w:tc>
          <w:tcPr>
            <w:tcW w:w="638"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before="40" w:line="260" w:lineRule="atLeast"/>
              <w:ind w:firstLine="0"/>
              <w:jc w:val="center"/>
              <w:rPr>
                <w:sz w:val="16"/>
                <w:szCs w:val="16"/>
              </w:rPr>
            </w:pPr>
            <w:r>
              <w:rPr>
                <w:sz w:val="16"/>
                <w:szCs w:val="16"/>
              </w:rPr>
              <w:t>111</w:t>
            </w:r>
          </w:p>
        </w:tc>
        <w:tc>
          <w:tcPr>
            <w:tcW w:w="1701" w:type="dxa"/>
            <w:vMerge/>
            <w:tcBorders>
              <w:top w:val="nil"/>
              <w:left w:val="single" w:sz="2" w:space="0" w:color="auto"/>
              <w:bottom w:val="nil"/>
              <w:right w:val="single" w:sz="2" w:space="0" w:color="auto"/>
            </w:tcBorders>
          </w:tcPr>
          <w:p w:rsidR="00A26D52" w:rsidRDefault="00A26D52">
            <w:pPr>
              <w:widowControl w:val="0"/>
              <w:spacing w:after="0"/>
              <w:ind w:firstLine="0"/>
              <w:jc w:val="left"/>
            </w:pPr>
          </w:p>
        </w:tc>
        <w:tc>
          <w:tcPr>
            <w:tcW w:w="1276" w:type="dxa"/>
            <w:vMerge/>
            <w:tcBorders>
              <w:top w:val="nil"/>
              <w:left w:val="single" w:sz="2" w:space="0" w:color="auto"/>
              <w:bottom w:val="nil"/>
              <w:right w:val="single" w:sz="2" w:space="0" w:color="auto"/>
            </w:tcBorders>
          </w:tcPr>
          <w:p w:rsidR="00A26D52" w:rsidRDefault="00A26D52">
            <w:pPr>
              <w:widowControl w:val="0"/>
              <w:spacing w:after="0"/>
              <w:ind w:firstLine="0"/>
              <w:jc w:val="left"/>
            </w:pPr>
          </w:p>
        </w:tc>
        <w:tc>
          <w:tcPr>
            <w:tcW w:w="3119" w:type="dxa"/>
            <w:tcBorders>
              <w:top w:val="single" w:sz="2" w:space="0" w:color="auto"/>
              <w:left w:val="single" w:sz="2" w:space="0" w:color="auto"/>
              <w:bottom w:val="single" w:sz="2" w:space="0" w:color="auto"/>
              <w:right w:val="single" w:sz="2" w:space="0" w:color="auto"/>
            </w:tcBorders>
          </w:tcPr>
          <w:p w:rsidR="00A26D52" w:rsidRDefault="00A26D52">
            <w:pPr>
              <w:widowControl w:val="0"/>
              <w:spacing w:after="0"/>
              <w:ind w:firstLine="0"/>
              <w:jc w:val="left"/>
            </w:pPr>
          </w:p>
        </w:tc>
        <w:tc>
          <w:tcPr>
            <w:tcW w:w="1417"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after="0"/>
              <w:ind w:firstLine="0"/>
              <w:jc w:val="left"/>
              <w:rPr>
                <w:b/>
                <w:bCs/>
                <w:sz w:val="16"/>
                <w:szCs w:val="16"/>
              </w:rPr>
            </w:pPr>
            <w:r>
              <w:rPr>
                <w:b/>
                <w:bCs/>
                <w:sz w:val="16"/>
                <w:szCs w:val="16"/>
              </w:rPr>
              <w:t>3. Kevert ásványi nyersanyag III.</w:t>
            </w:r>
          </w:p>
        </w:tc>
        <w:tc>
          <w:tcPr>
            <w:tcW w:w="2268"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before="40"/>
              <w:ind w:firstLine="0"/>
              <w:jc w:val="left"/>
              <w:rPr>
                <w:sz w:val="16"/>
                <w:szCs w:val="16"/>
              </w:rPr>
            </w:pPr>
            <w:r>
              <w:rPr>
                <w:sz w:val="16"/>
                <w:szCs w:val="16"/>
              </w:rPr>
              <w:t>Azon ásványi nyersanyag, amely földtani szakértő szakvéleménye alapján a melléklet 3–33</w:t>
            </w:r>
            <w:proofErr w:type="gramStart"/>
            <w:r>
              <w:rPr>
                <w:sz w:val="16"/>
                <w:szCs w:val="16"/>
              </w:rPr>
              <w:t>.,</w:t>
            </w:r>
            <w:proofErr w:type="gramEnd"/>
            <w:r>
              <w:rPr>
                <w:sz w:val="16"/>
                <w:szCs w:val="16"/>
              </w:rPr>
              <w:t xml:space="preserve"> 35., 37–40., 46–62., 64–76. és 92–97. sorában szereplő nyersanyagot 60%-nál nagyobb mennyiségben tartalmazza.</w:t>
            </w:r>
          </w:p>
        </w:tc>
        <w:tc>
          <w:tcPr>
            <w:tcW w:w="709"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after="0"/>
              <w:ind w:firstLine="0"/>
              <w:jc w:val="center"/>
              <w:rPr>
                <w:sz w:val="16"/>
                <w:szCs w:val="16"/>
              </w:rPr>
            </w:pPr>
            <w:r>
              <w:rPr>
                <w:sz w:val="16"/>
                <w:szCs w:val="16"/>
              </w:rPr>
              <w:t>2313.</w:t>
            </w:r>
          </w:p>
        </w:tc>
        <w:tc>
          <w:tcPr>
            <w:tcW w:w="1701"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after="0"/>
              <w:ind w:firstLine="0"/>
              <w:jc w:val="center"/>
              <w:rPr>
                <w:sz w:val="16"/>
                <w:szCs w:val="16"/>
              </w:rPr>
            </w:pPr>
            <w:r>
              <w:rPr>
                <w:sz w:val="16"/>
                <w:szCs w:val="16"/>
              </w:rPr>
              <w:t>Az adott nyersanyagnál megjelölt fajlagos érték</w:t>
            </w:r>
          </w:p>
        </w:tc>
        <w:tc>
          <w:tcPr>
            <w:tcW w:w="850"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after="0" w:line="260" w:lineRule="atLeast"/>
              <w:ind w:firstLine="0"/>
              <w:jc w:val="center"/>
            </w:pPr>
            <w:r>
              <w:t>Ft/m</w:t>
            </w:r>
            <w:r>
              <w:rPr>
                <w:vertAlign w:val="superscript"/>
              </w:rPr>
              <w:t>3</w:t>
            </w:r>
          </w:p>
        </w:tc>
        <w:tc>
          <w:tcPr>
            <w:tcW w:w="1418" w:type="dxa"/>
            <w:tcBorders>
              <w:top w:val="single" w:sz="2" w:space="0" w:color="auto"/>
              <w:left w:val="single" w:sz="2" w:space="0" w:color="auto"/>
              <w:bottom w:val="single" w:sz="2" w:space="0" w:color="auto"/>
              <w:right w:val="single" w:sz="2" w:space="0" w:color="auto"/>
            </w:tcBorders>
            <w:vAlign w:val="center"/>
          </w:tcPr>
          <w:p w:rsidR="00A26D52" w:rsidRDefault="00A26D52">
            <w:pPr>
              <w:widowControl w:val="0"/>
              <w:spacing w:after="0"/>
              <w:ind w:firstLine="0"/>
              <w:jc w:val="left"/>
            </w:pPr>
          </w:p>
        </w:tc>
      </w:tr>
      <w:tr w:rsidR="00A26D52" w:rsidTr="00A26D52">
        <w:tblPrEx>
          <w:tblCellMar>
            <w:left w:w="71" w:type="dxa"/>
            <w:right w:w="71" w:type="dxa"/>
          </w:tblCellMar>
        </w:tblPrEx>
        <w:trPr>
          <w:cantSplit/>
          <w:trHeight w:val="60"/>
        </w:trPr>
        <w:tc>
          <w:tcPr>
            <w:tcW w:w="638" w:type="dxa"/>
            <w:tcBorders>
              <w:top w:val="single" w:sz="2" w:space="0" w:color="auto"/>
              <w:left w:val="single" w:sz="2" w:space="0" w:color="auto"/>
              <w:bottom w:val="single" w:sz="4" w:space="0" w:color="auto"/>
              <w:right w:val="single" w:sz="2" w:space="0" w:color="auto"/>
            </w:tcBorders>
            <w:vAlign w:val="center"/>
          </w:tcPr>
          <w:p w:rsidR="00A26D52" w:rsidRDefault="00A26D52">
            <w:pPr>
              <w:widowControl w:val="0"/>
              <w:spacing w:before="40" w:line="260" w:lineRule="atLeast"/>
              <w:ind w:firstLine="0"/>
              <w:jc w:val="center"/>
              <w:rPr>
                <w:sz w:val="16"/>
                <w:szCs w:val="16"/>
              </w:rPr>
            </w:pPr>
            <w:r>
              <w:rPr>
                <w:sz w:val="16"/>
                <w:szCs w:val="16"/>
              </w:rPr>
              <w:lastRenderedPageBreak/>
              <w:t>112</w:t>
            </w:r>
          </w:p>
        </w:tc>
        <w:tc>
          <w:tcPr>
            <w:tcW w:w="1701" w:type="dxa"/>
            <w:vMerge/>
            <w:tcBorders>
              <w:top w:val="nil"/>
              <w:left w:val="single" w:sz="2" w:space="0" w:color="auto"/>
              <w:bottom w:val="single" w:sz="4" w:space="0" w:color="auto"/>
              <w:right w:val="single" w:sz="2" w:space="0" w:color="auto"/>
            </w:tcBorders>
          </w:tcPr>
          <w:p w:rsidR="00A26D52" w:rsidRDefault="00A26D52">
            <w:pPr>
              <w:widowControl w:val="0"/>
              <w:spacing w:after="0"/>
              <w:ind w:firstLine="0"/>
              <w:jc w:val="left"/>
            </w:pPr>
          </w:p>
        </w:tc>
        <w:tc>
          <w:tcPr>
            <w:tcW w:w="1276" w:type="dxa"/>
            <w:vMerge/>
            <w:tcBorders>
              <w:top w:val="nil"/>
              <w:left w:val="single" w:sz="2" w:space="0" w:color="auto"/>
              <w:bottom w:val="single" w:sz="4" w:space="0" w:color="auto"/>
              <w:right w:val="single" w:sz="2" w:space="0" w:color="auto"/>
            </w:tcBorders>
          </w:tcPr>
          <w:p w:rsidR="00A26D52" w:rsidRDefault="00A26D52">
            <w:pPr>
              <w:widowControl w:val="0"/>
              <w:spacing w:after="0"/>
              <w:ind w:firstLine="0"/>
              <w:jc w:val="left"/>
            </w:pPr>
          </w:p>
        </w:tc>
        <w:tc>
          <w:tcPr>
            <w:tcW w:w="3119" w:type="dxa"/>
            <w:tcBorders>
              <w:top w:val="single" w:sz="2" w:space="0" w:color="auto"/>
              <w:left w:val="single" w:sz="2" w:space="0" w:color="auto"/>
              <w:bottom w:val="single" w:sz="4" w:space="0" w:color="auto"/>
              <w:right w:val="single" w:sz="2" w:space="0" w:color="auto"/>
            </w:tcBorders>
          </w:tcPr>
          <w:p w:rsidR="00A26D52" w:rsidRDefault="00A26D52">
            <w:pPr>
              <w:widowControl w:val="0"/>
              <w:spacing w:after="0"/>
              <w:ind w:firstLine="0"/>
              <w:jc w:val="left"/>
            </w:pPr>
          </w:p>
        </w:tc>
        <w:tc>
          <w:tcPr>
            <w:tcW w:w="1417" w:type="dxa"/>
            <w:tcBorders>
              <w:top w:val="single" w:sz="2" w:space="0" w:color="auto"/>
              <w:left w:val="single" w:sz="2" w:space="0" w:color="auto"/>
              <w:bottom w:val="single" w:sz="4" w:space="0" w:color="auto"/>
              <w:right w:val="single" w:sz="2" w:space="0" w:color="auto"/>
            </w:tcBorders>
            <w:vAlign w:val="center"/>
          </w:tcPr>
          <w:p w:rsidR="00A26D52" w:rsidRDefault="00A26D52">
            <w:pPr>
              <w:widowControl w:val="0"/>
              <w:spacing w:after="0"/>
              <w:ind w:firstLine="0"/>
              <w:jc w:val="left"/>
              <w:rPr>
                <w:b/>
                <w:bCs/>
                <w:sz w:val="16"/>
                <w:szCs w:val="16"/>
              </w:rPr>
            </w:pPr>
            <w:r>
              <w:rPr>
                <w:b/>
                <w:bCs/>
                <w:sz w:val="16"/>
                <w:szCs w:val="16"/>
              </w:rPr>
              <w:t>4. Kevert ásványi nyersanyag IV.</w:t>
            </w:r>
          </w:p>
        </w:tc>
        <w:tc>
          <w:tcPr>
            <w:tcW w:w="2268" w:type="dxa"/>
            <w:tcBorders>
              <w:top w:val="single" w:sz="2" w:space="0" w:color="auto"/>
              <w:left w:val="single" w:sz="2" w:space="0" w:color="auto"/>
              <w:bottom w:val="single" w:sz="4" w:space="0" w:color="auto"/>
              <w:right w:val="single" w:sz="2" w:space="0" w:color="auto"/>
            </w:tcBorders>
            <w:vAlign w:val="center"/>
          </w:tcPr>
          <w:p w:rsidR="00A26D52" w:rsidRDefault="00A26D52">
            <w:pPr>
              <w:widowControl w:val="0"/>
              <w:spacing w:before="40"/>
              <w:ind w:firstLine="0"/>
              <w:jc w:val="left"/>
              <w:rPr>
                <w:sz w:val="16"/>
                <w:szCs w:val="16"/>
              </w:rPr>
            </w:pPr>
            <w:r>
              <w:rPr>
                <w:sz w:val="16"/>
                <w:szCs w:val="16"/>
              </w:rPr>
              <w:t>Azon ásványi nyersanyag, amely földtani szakértő szakvéleménye alapján a melléklet 3–33., 35</w:t>
            </w:r>
            <w:proofErr w:type="gramStart"/>
            <w:r>
              <w:rPr>
                <w:sz w:val="16"/>
                <w:szCs w:val="16"/>
              </w:rPr>
              <w:t>.,</w:t>
            </w:r>
            <w:proofErr w:type="gramEnd"/>
            <w:r>
              <w:rPr>
                <w:sz w:val="16"/>
                <w:szCs w:val="16"/>
              </w:rPr>
              <w:t xml:space="preserve"> 37–40., 46–62., 64–76. és 92–97. sorában szereplő nyersanyagot 60%-nál kisebb mennyiségben tartalmazza.</w:t>
            </w:r>
          </w:p>
        </w:tc>
        <w:tc>
          <w:tcPr>
            <w:tcW w:w="709" w:type="dxa"/>
            <w:tcBorders>
              <w:top w:val="single" w:sz="2" w:space="0" w:color="auto"/>
              <w:left w:val="single" w:sz="2" w:space="0" w:color="auto"/>
              <w:bottom w:val="single" w:sz="4" w:space="0" w:color="auto"/>
              <w:right w:val="single" w:sz="2" w:space="0" w:color="auto"/>
            </w:tcBorders>
            <w:vAlign w:val="center"/>
          </w:tcPr>
          <w:p w:rsidR="00A26D52" w:rsidRDefault="00A26D52">
            <w:pPr>
              <w:widowControl w:val="0"/>
              <w:spacing w:after="0"/>
              <w:ind w:firstLine="0"/>
              <w:jc w:val="center"/>
              <w:rPr>
                <w:sz w:val="16"/>
                <w:szCs w:val="16"/>
              </w:rPr>
            </w:pPr>
            <w:r>
              <w:rPr>
                <w:sz w:val="16"/>
                <w:szCs w:val="16"/>
              </w:rPr>
              <w:t>2314.</w:t>
            </w:r>
          </w:p>
        </w:tc>
        <w:tc>
          <w:tcPr>
            <w:tcW w:w="1701" w:type="dxa"/>
            <w:tcBorders>
              <w:top w:val="single" w:sz="2" w:space="0" w:color="auto"/>
              <w:left w:val="single" w:sz="2" w:space="0" w:color="auto"/>
              <w:bottom w:val="single" w:sz="4" w:space="0" w:color="auto"/>
              <w:right w:val="single" w:sz="2" w:space="0" w:color="auto"/>
            </w:tcBorders>
            <w:vAlign w:val="center"/>
          </w:tcPr>
          <w:p w:rsidR="00A26D52" w:rsidRDefault="00A26D52">
            <w:pPr>
              <w:widowControl w:val="0"/>
              <w:spacing w:after="0"/>
              <w:ind w:firstLine="0"/>
              <w:jc w:val="center"/>
              <w:rPr>
                <w:sz w:val="16"/>
                <w:szCs w:val="16"/>
              </w:rPr>
            </w:pPr>
            <w:r>
              <w:rPr>
                <w:sz w:val="16"/>
                <w:szCs w:val="16"/>
              </w:rPr>
              <w:t>660</w:t>
            </w:r>
          </w:p>
        </w:tc>
        <w:tc>
          <w:tcPr>
            <w:tcW w:w="850" w:type="dxa"/>
            <w:tcBorders>
              <w:top w:val="single" w:sz="2" w:space="0" w:color="auto"/>
              <w:left w:val="single" w:sz="2" w:space="0" w:color="auto"/>
              <w:bottom w:val="single" w:sz="4" w:space="0" w:color="auto"/>
              <w:right w:val="single" w:sz="2" w:space="0" w:color="auto"/>
            </w:tcBorders>
            <w:vAlign w:val="center"/>
          </w:tcPr>
          <w:p w:rsidR="00A26D52" w:rsidRDefault="00A26D52">
            <w:pPr>
              <w:widowControl w:val="0"/>
              <w:spacing w:after="0" w:line="260" w:lineRule="atLeast"/>
              <w:ind w:firstLine="0"/>
              <w:jc w:val="center"/>
            </w:pPr>
            <w:r>
              <w:t>Ft/m</w:t>
            </w:r>
            <w:r>
              <w:rPr>
                <w:vertAlign w:val="superscript"/>
              </w:rPr>
              <w:t>3</w:t>
            </w:r>
          </w:p>
        </w:tc>
        <w:tc>
          <w:tcPr>
            <w:tcW w:w="1418" w:type="dxa"/>
            <w:tcBorders>
              <w:top w:val="single" w:sz="2" w:space="0" w:color="auto"/>
              <w:left w:val="single" w:sz="2" w:space="0" w:color="auto"/>
              <w:bottom w:val="single" w:sz="4" w:space="0" w:color="auto"/>
              <w:right w:val="single" w:sz="2" w:space="0" w:color="auto"/>
            </w:tcBorders>
            <w:vAlign w:val="center"/>
          </w:tcPr>
          <w:p w:rsidR="00A26D52" w:rsidRDefault="00A26D52">
            <w:pPr>
              <w:widowControl w:val="0"/>
              <w:spacing w:after="0"/>
              <w:ind w:firstLine="0"/>
              <w:jc w:val="left"/>
              <w:rPr>
                <w:sz w:val="16"/>
                <w:szCs w:val="16"/>
              </w:rPr>
            </w:pPr>
            <w:r>
              <w:rPr>
                <w:sz w:val="16"/>
                <w:szCs w:val="16"/>
              </w:rPr>
              <w:t>0000 Vegyes, kevert és meddő-hányóból nyert nyersanyagok</w:t>
            </w:r>
          </w:p>
        </w:tc>
      </w:tr>
      <w:tr w:rsidR="00A26D52" w:rsidTr="00A26D52">
        <w:tblPrEx>
          <w:tblCellMar>
            <w:left w:w="71" w:type="dxa"/>
            <w:right w:w="71" w:type="dxa"/>
          </w:tblCellMar>
        </w:tblPrEx>
        <w:trPr>
          <w:cantSplit/>
          <w:trHeight w:val="60"/>
        </w:trPr>
        <w:tc>
          <w:tcPr>
            <w:tcW w:w="638" w:type="dxa"/>
            <w:tcBorders>
              <w:top w:val="single" w:sz="4" w:space="0" w:color="auto"/>
              <w:left w:val="single" w:sz="2" w:space="0" w:color="auto"/>
              <w:bottom w:val="single" w:sz="2" w:space="0" w:color="auto"/>
              <w:right w:val="single" w:sz="2" w:space="0" w:color="auto"/>
            </w:tcBorders>
            <w:vAlign w:val="center"/>
          </w:tcPr>
          <w:p w:rsidR="00A26D52" w:rsidRPr="00A26D52" w:rsidRDefault="00A26D52" w:rsidP="00717B05">
            <w:pPr>
              <w:suppressAutoHyphens/>
              <w:spacing w:after="0"/>
              <w:textAlignment w:val="center"/>
              <w:rPr>
                <w:sz w:val="16"/>
                <w:szCs w:val="16"/>
              </w:rPr>
            </w:pPr>
            <w:r w:rsidRPr="00A26D52">
              <w:rPr>
                <w:sz w:val="16"/>
                <w:szCs w:val="16"/>
              </w:rPr>
              <w:t>113.</w:t>
            </w:r>
          </w:p>
        </w:tc>
        <w:tc>
          <w:tcPr>
            <w:tcW w:w="1701" w:type="dxa"/>
            <w:tcBorders>
              <w:top w:val="single" w:sz="4" w:space="0" w:color="auto"/>
              <w:left w:val="single" w:sz="2" w:space="0" w:color="auto"/>
              <w:bottom w:val="single" w:sz="2" w:space="0" w:color="auto"/>
              <w:right w:val="single" w:sz="2" w:space="0" w:color="auto"/>
            </w:tcBorders>
            <w:vAlign w:val="center"/>
          </w:tcPr>
          <w:p w:rsidR="00A26D52" w:rsidRPr="00A26D52" w:rsidRDefault="00A26D52" w:rsidP="00A26D52">
            <w:pPr>
              <w:suppressAutoHyphens/>
              <w:spacing w:after="0"/>
              <w:ind w:firstLine="0"/>
              <w:jc w:val="left"/>
              <w:textAlignment w:val="center"/>
              <w:rPr>
                <w:b/>
                <w:bCs/>
                <w:sz w:val="16"/>
                <w:szCs w:val="16"/>
              </w:rPr>
            </w:pPr>
            <w:r w:rsidRPr="00A26D52">
              <w:rPr>
                <w:b/>
                <w:bCs/>
                <w:sz w:val="16"/>
                <w:szCs w:val="16"/>
              </w:rPr>
              <w:t>15. Felszín alatti vizekben természetes módon oldott állapotban előforduló nyersanyagok</w:t>
            </w:r>
          </w:p>
          <w:p w:rsidR="00A26D52" w:rsidRPr="00A26D52" w:rsidRDefault="00A26D52" w:rsidP="00A26D52">
            <w:pPr>
              <w:suppressAutoHyphens/>
              <w:spacing w:after="0"/>
              <w:ind w:firstLine="0"/>
              <w:jc w:val="left"/>
              <w:textAlignment w:val="center"/>
              <w:rPr>
                <w:sz w:val="16"/>
                <w:szCs w:val="16"/>
              </w:rPr>
            </w:pPr>
            <w:r w:rsidRPr="00A26D52">
              <w:rPr>
                <w:sz w:val="16"/>
                <w:szCs w:val="16"/>
              </w:rPr>
              <w:t>Olyan kémiai elemek vagy vegyületek, melyek az elsődlegesen szilárd állapotban előforduló kőzetek és ásványok természetes oldódása révén kerülnek a felszín alatti vizekbe.</w:t>
            </w:r>
          </w:p>
        </w:tc>
        <w:tc>
          <w:tcPr>
            <w:tcW w:w="1276" w:type="dxa"/>
            <w:tcBorders>
              <w:top w:val="single" w:sz="4" w:space="0" w:color="auto"/>
              <w:left w:val="single" w:sz="2" w:space="0" w:color="auto"/>
              <w:bottom w:val="single" w:sz="2" w:space="0" w:color="auto"/>
              <w:right w:val="single" w:sz="2" w:space="0" w:color="auto"/>
            </w:tcBorders>
            <w:vAlign w:val="center"/>
          </w:tcPr>
          <w:p w:rsidR="00A26D52" w:rsidRPr="00A26D52" w:rsidRDefault="00A26D52" w:rsidP="00A26D52">
            <w:pPr>
              <w:suppressAutoHyphens/>
              <w:spacing w:after="0"/>
              <w:ind w:firstLine="0"/>
              <w:jc w:val="left"/>
              <w:textAlignment w:val="center"/>
              <w:rPr>
                <w:sz w:val="16"/>
                <w:szCs w:val="16"/>
              </w:rPr>
            </w:pPr>
            <w:r w:rsidRPr="00A26D52">
              <w:rPr>
                <w:b/>
                <w:bCs/>
                <w:sz w:val="16"/>
                <w:szCs w:val="16"/>
              </w:rPr>
              <w:t>1. Fémek</w:t>
            </w:r>
          </w:p>
        </w:tc>
        <w:tc>
          <w:tcPr>
            <w:tcW w:w="3119" w:type="dxa"/>
            <w:tcBorders>
              <w:top w:val="single" w:sz="4" w:space="0" w:color="auto"/>
              <w:left w:val="single" w:sz="2" w:space="0" w:color="auto"/>
              <w:bottom w:val="single" w:sz="2" w:space="0" w:color="auto"/>
              <w:right w:val="single" w:sz="2" w:space="0" w:color="auto"/>
            </w:tcBorders>
            <w:vAlign w:val="center"/>
          </w:tcPr>
          <w:p w:rsidR="00A26D52" w:rsidRPr="00A26D52" w:rsidRDefault="00A26D52" w:rsidP="00A26D52">
            <w:pPr>
              <w:widowControl w:val="0"/>
              <w:spacing w:after="0"/>
              <w:ind w:firstLine="0"/>
              <w:jc w:val="left"/>
              <w:rPr>
                <w:sz w:val="16"/>
                <w:szCs w:val="16"/>
              </w:rPr>
            </w:pPr>
            <w:r w:rsidRPr="00A26D52">
              <w:rPr>
                <w:sz w:val="16"/>
                <w:szCs w:val="16"/>
              </w:rPr>
              <w:t>Felszín alatti vizekben oldott állapotban megtalálható fémes elemek. A fémek bármilyen forráskőzetből származhatnak, nem csak ércekből.</w:t>
            </w:r>
          </w:p>
        </w:tc>
        <w:tc>
          <w:tcPr>
            <w:tcW w:w="1417" w:type="dxa"/>
            <w:tcBorders>
              <w:top w:val="single" w:sz="4" w:space="0" w:color="auto"/>
              <w:left w:val="single" w:sz="2" w:space="0" w:color="auto"/>
              <w:bottom w:val="single" w:sz="2" w:space="0" w:color="auto"/>
              <w:right w:val="single" w:sz="2" w:space="0" w:color="auto"/>
            </w:tcBorders>
            <w:vAlign w:val="center"/>
          </w:tcPr>
          <w:p w:rsidR="00A26D52" w:rsidRPr="00A26D52" w:rsidRDefault="00A26D52" w:rsidP="00717B05">
            <w:pPr>
              <w:spacing w:after="0"/>
              <w:rPr>
                <w:sz w:val="16"/>
                <w:szCs w:val="16"/>
              </w:rPr>
            </w:pPr>
          </w:p>
        </w:tc>
        <w:tc>
          <w:tcPr>
            <w:tcW w:w="2268" w:type="dxa"/>
            <w:tcBorders>
              <w:top w:val="single" w:sz="4" w:space="0" w:color="auto"/>
              <w:left w:val="single" w:sz="2" w:space="0" w:color="auto"/>
              <w:bottom w:val="single" w:sz="2" w:space="0" w:color="auto"/>
              <w:right w:val="single" w:sz="2" w:space="0" w:color="auto"/>
            </w:tcBorders>
            <w:vAlign w:val="center"/>
          </w:tcPr>
          <w:p w:rsidR="00A26D52" w:rsidRPr="00A26D52" w:rsidRDefault="00A26D52" w:rsidP="00717B05">
            <w:pPr>
              <w:spacing w:after="0"/>
              <w:rPr>
                <w:sz w:val="16"/>
                <w:szCs w:val="16"/>
              </w:rPr>
            </w:pPr>
          </w:p>
        </w:tc>
        <w:tc>
          <w:tcPr>
            <w:tcW w:w="709" w:type="dxa"/>
            <w:tcBorders>
              <w:top w:val="single" w:sz="4" w:space="0" w:color="auto"/>
              <w:left w:val="single" w:sz="2" w:space="0" w:color="auto"/>
              <w:bottom w:val="single" w:sz="2" w:space="0" w:color="auto"/>
              <w:right w:val="single" w:sz="2" w:space="0" w:color="auto"/>
            </w:tcBorders>
            <w:vAlign w:val="center"/>
          </w:tcPr>
          <w:p w:rsidR="00A26D52" w:rsidRPr="00A26D52" w:rsidRDefault="00A26D52" w:rsidP="00717B05">
            <w:pPr>
              <w:suppressAutoHyphens/>
              <w:spacing w:after="0"/>
              <w:jc w:val="center"/>
              <w:textAlignment w:val="center"/>
              <w:rPr>
                <w:sz w:val="16"/>
                <w:szCs w:val="16"/>
              </w:rPr>
            </w:pPr>
            <w:r w:rsidRPr="00A26D52">
              <w:rPr>
                <w:sz w:val="16"/>
                <w:szCs w:val="16"/>
              </w:rPr>
              <w:t>3010</w:t>
            </w:r>
          </w:p>
        </w:tc>
        <w:tc>
          <w:tcPr>
            <w:tcW w:w="1701" w:type="dxa"/>
            <w:tcBorders>
              <w:top w:val="single" w:sz="4" w:space="0" w:color="auto"/>
              <w:left w:val="single" w:sz="2" w:space="0" w:color="auto"/>
              <w:bottom w:val="single" w:sz="2" w:space="0" w:color="auto"/>
              <w:right w:val="single" w:sz="2" w:space="0" w:color="auto"/>
            </w:tcBorders>
            <w:vAlign w:val="center"/>
          </w:tcPr>
          <w:p w:rsidR="00A26D52" w:rsidRPr="00A26D52" w:rsidRDefault="00A26D52" w:rsidP="00717B05">
            <w:pPr>
              <w:suppressAutoHyphens/>
              <w:spacing w:after="0"/>
              <w:jc w:val="center"/>
              <w:textAlignment w:val="center"/>
              <w:rPr>
                <w:sz w:val="16"/>
                <w:szCs w:val="16"/>
              </w:rPr>
            </w:pPr>
            <w:proofErr w:type="spellStart"/>
            <w:r w:rsidRPr="00A26D52">
              <w:rPr>
                <w:sz w:val="16"/>
                <w:szCs w:val="16"/>
              </w:rPr>
              <w:t>Li</w:t>
            </w:r>
            <w:proofErr w:type="spellEnd"/>
            <w:r w:rsidRPr="00A26D52">
              <w:rPr>
                <w:sz w:val="16"/>
                <w:szCs w:val="16"/>
              </w:rPr>
              <w:t xml:space="preserve"> = 45 570 Ft/kg</w:t>
            </w:r>
          </w:p>
          <w:p w:rsidR="00A26D52" w:rsidRPr="00A26D52" w:rsidRDefault="00A26D52" w:rsidP="00717B05">
            <w:pPr>
              <w:suppressAutoHyphens/>
              <w:spacing w:after="0"/>
              <w:jc w:val="center"/>
              <w:textAlignment w:val="center"/>
              <w:rPr>
                <w:sz w:val="16"/>
                <w:szCs w:val="16"/>
              </w:rPr>
            </w:pPr>
            <w:r w:rsidRPr="00A26D52">
              <w:rPr>
                <w:sz w:val="16"/>
                <w:szCs w:val="16"/>
              </w:rPr>
              <w:t>U = 29 700 Ft/kg</w:t>
            </w:r>
          </w:p>
        </w:tc>
        <w:tc>
          <w:tcPr>
            <w:tcW w:w="850" w:type="dxa"/>
            <w:tcBorders>
              <w:top w:val="single" w:sz="4" w:space="0" w:color="auto"/>
              <w:left w:val="single" w:sz="2" w:space="0" w:color="auto"/>
              <w:bottom w:val="single" w:sz="2" w:space="0" w:color="auto"/>
              <w:right w:val="single" w:sz="2" w:space="0" w:color="auto"/>
            </w:tcBorders>
            <w:vAlign w:val="center"/>
          </w:tcPr>
          <w:p w:rsidR="00A26D52" w:rsidRPr="00A26D52" w:rsidRDefault="00A26D52" w:rsidP="00717B05">
            <w:pPr>
              <w:suppressAutoHyphens/>
              <w:spacing w:after="0"/>
              <w:jc w:val="center"/>
              <w:textAlignment w:val="center"/>
              <w:rPr>
                <w:sz w:val="16"/>
                <w:szCs w:val="16"/>
              </w:rPr>
            </w:pPr>
            <w:r w:rsidRPr="00A26D52">
              <w:rPr>
                <w:sz w:val="16"/>
                <w:szCs w:val="16"/>
              </w:rPr>
              <w:t>Ft/kg</w:t>
            </w:r>
          </w:p>
        </w:tc>
        <w:tc>
          <w:tcPr>
            <w:tcW w:w="1418" w:type="dxa"/>
            <w:tcBorders>
              <w:top w:val="single" w:sz="4" w:space="0" w:color="auto"/>
              <w:left w:val="single" w:sz="2" w:space="0" w:color="auto"/>
              <w:bottom w:val="single" w:sz="2" w:space="0" w:color="auto"/>
              <w:right w:val="single" w:sz="2" w:space="0" w:color="auto"/>
            </w:tcBorders>
            <w:vAlign w:val="center"/>
          </w:tcPr>
          <w:p w:rsidR="00A26D52" w:rsidRPr="00A26D52" w:rsidRDefault="00A26D52" w:rsidP="00717B05">
            <w:pPr>
              <w:spacing w:after="0"/>
              <w:rPr>
                <w:sz w:val="16"/>
                <w:szCs w:val="16"/>
              </w:rPr>
            </w:pPr>
          </w:p>
        </w:tc>
      </w:tr>
    </w:tbl>
    <w:p w:rsidR="00604D51" w:rsidRDefault="00604D51"/>
    <w:sectPr w:rsidR="00604D51">
      <w:pgSz w:w="16840" w:h="11907" w:orient="landscape"/>
      <w:pgMar w:top="851" w:right="851" w:bottom="851"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52"/>
    <w:rsid w:val="00153F2F"/>
    <w:rsid w:val="001552A5"/>
    <w:rsid w:val="00604D51"/>
    <w:rsid w:val="00A26D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adjustRightInd w:val="0"/>
      <w:spacing w:after="20" w:line="240" w:lineRule="auto"/>
      <w:ind w:firstLine="142"/>
      <w:jc w:val="both"/>
    </w:pPr>
    <w:rPr>
      <w:rFonts w:ascii="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1">
    <w:name w:val="C1"/>
    <w:uiPriority w:val="99"/>
    <w:pPr>
      <w:autoSpaceDE w:val="0"/>
      <w:autoSpaceDN w:val="0"/>
      <w:adjustRightInd w:val="0"/>
      <w:spacing w:before="120" w:after="60" w:line="240" w:lineRule="auto"/>
      <w:jc w:val="center"/>
    </w:pPr>
    <w:rPr>
      <w:rFonts w:ascii="Times New Roman" w:hAnsi="Times New Roman" w:cs="Times New Roman"/>
      <w:b/>
      <w:bCs/>
      <w:sz w:val="20"/>
      <w:szCs w:val="20"/>
    </w:rPr>
  </w:style>
  <w:style w:type="paragraph" w:customStyle="1" w:styleId="C2">
    <w:name w:val="C2"/>
    <w:uiPriority w:val="99"/>
    <w:pPr>
      <w:autoSpaceDE w:val="0"/>
      <w:autoSpaceDN w:val="0"/>
      <w:adjustRightInd w:val="0"/>
      <w:spacing w:after="240" w:line="240" w:lineRule="auto"/>
      <w:jc w:val="center"/>
    </w:pPr>
    <w:rPr>
      <w:rFonts w:ascii="Times New Roman" w:hAnsi="Times New Roman" w:cs="Times New Roman"/>
      <w:b/>
      <w:bCs/>
      <w:sz w:val="20"/>
      <w:szCs w:val="20"/>
    </w:rPr>
  </w:style>
  <w:style w:type="paragraph" w:customStyle="1" w:styleId="C3">
    <w:name w:val="C3"/>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4">
    <w:name w:val="C4"/>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5">
    <w:name w:val="C5"/>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6">
    <w:name w:val="C6"/>
    <w:uiPriority w:val="99"/>
    <w:pPr>
      <w:autoSpaceDE w:val="0"/>
      <w:autoSpaceDN w:val="0"/>
      <w:adjustRightInd w:val="0"/>
      <w:spacing w:before="120" w:after="120" w:line="240" w:lineRule="auto"/>
      <w:jc w:val="center"/>
    </w:pPr>
    <w:rPr>
      <w:rFonts w:ascii="Times New Roman" w:hAnsi="Times New Roman" w:cs="Times New Roman"/>
      <w:b/>
      <w:bCs/>
      <w:sz w:val="20"/>
      <w:szCs w:val="20"/>
    </w:rPr>
  </w:style>
  <w:style w:type="paragraph" w:customStyle="1" w:styleId="C7">
    <w:name w:val="C7"/>
    <w:uiPriority w:val="99"/>
    <w:pPr>
      <w:autoSpaceDE w:val="0"/>
      <w:autoSpaceDN w:val="0"/>
      <w:adjustRightInd w:val="0"/>
      <w:spacing w:before="120" w:after="240" w:line="240" w:lineRule="auto"/>
      <w:jc w:val="center"/>
    </w:pPr>
    <w:rPr>
      <w:rFonts w:ascii="Times New Roman" w:hAnsi="Times New Roman" w:cs="Times New Roman"/>
      <w:i/>
      <w:iCs/>
      <w:sz w:val="20"/>
      <w:szCs w:val="20"/>
    </w:rPr>
  </w:style>
  <w:style w:type="paragraph" w:customStyle="1" w:styleId="M">
    <w:name w:val="M"/>
    <w:uiPriority w:val="99"/>
    <w:pPr>
      <w:autoSpaceDE w:val="0"/>
      <w:autoSpaceDN w:val="0"/>
      <w:adjustRightInd w:val="0"/>
      <w:spacing w:before="120" w:after="120" w:line="240" w:lineRule="auto"/>
      <w:jc w:val="both"/>
    </w:pPr>
    <w:rPr>
      <w:rFonts w:ascii="Times New Roman" w:hAnsi="Times New Roman" w:cs="Times New Roman"/>
      <w:i/>
      <w:iCs/>
      <w:sz w:val="20"/>
      <w:szCs w:val="20"/>
      <w:u w:val="single"/>
    </w:rPr>
  </w:style>
  <w:style w:type="paragraph" w:customStyle="1" w:styleId="LN">
    <w:name w:val="LN"/>
    <w:uiPriority w:val="99"/>
    <w:pPr>
      <w:autoSpaceDE w:val="0"/>
      <w:autoSpaceDN w:val="0"/>
      <w:adjustRightInd w:val="0"/>
      <w:spacing w:before="80" w:after="0" w:line="240" w:lineRule="auto"/>
      <w:jc w:val="both"/>
    </w:pPr>
    <w:rPr>
      <w:rFonts w:ascii="Times New Roman" w:hAnsi="Times New Roman" w:cs="Times New Roman"/>
      <w:sz w:val="20"/>
      <w:szCs w:val="20"/>
    </w:rPr>
  </w:style>
  <w:style w:type="paragraph" w:customStyle="1" w:styleId="C7B">
    <w:name w:val="C7B"/>
    <w:uiPriority w:val="99"/>
    <w:pPr>
      <w:autoSpaceDE w:val="0"/>
      <w:autoSpaceDN w:val="0"/>
      <w:adjustRightInd w:val="0"/>
      <w:spacing w:line="240" w:lineRule="auto"/>
      <w:jc w:val="center"/>
    </w:pPr>
    <w:rPr>
      <w:rFonts w:ascii="Times New Roman" w:hAnsi="Times New Roman" w:cs="Times New Roman"/>
      <w:b/>
      <w:bCs/>
      <w:sz w:val="20"/>
      <w:szCs w:val="20"/>
    </w:rPr>
  </w:style>
  <w:style w:type="paragraph" w:customStyle="1" w:styleId="DOLT">
    <w:name w:val="DOLT"/>
    <w:uiPriority w:val="99"/>
    <w:pPr>
      <w:autoSpaceDE w:val="0"/>
      <w:autoSpaceDN w:val="0"/>
      <w:adjustRightInd w:val="0"/>
      <w:spacing w:after="0" w:line="240" w:lineRule="auto"/>
      <w:ind w:firstLine="180"/>
      <w:jc w:val="both"/>
    </w:pPr>
    <w:rPr>
      <w:rFonts w:ascii="Times New Roman" w:hAnsi="Times New Roman" w:cs="Times New Roman"/>
      <w:i/>
      <w:iCs/>
      <w:sz w:val="20"/>
      <w:szCs w:val="20"/>
    </w:rPr>
  </w:style>
  <w:style w:type="paragraph" w:customStyle="1" w:styleId="BOLD">
    <w:name w:val="BOLD"/>
    <w:uiPriority w:val="99"/>
    <w:pPr>
      <w:autoSpaceDE w:val="0"/>
      <w:autoSpaceDN w:val="0"/>
      <w:adjustRightInd w:val="0"/>
      <w:spacing w:after="0" w:line="240" w:lineRule="auto"/>
      <w:ind w:firstLine="180"/>
      <w:jc w:val="both"/>
    </w:pPr>
    <w:rPr>
      <w:rFonts w:ascii="Times New Roman" w:hAnsi="Times New Roman" w:cs="Times New Roman"/>
      <w:b/>
      <w:bCs/>
      <w:sz w:val="20"/>
      <w:szCs w:val="20"/>
    </w:rPr>
  </w:style>
  <w:style w:type="paragraph" w:customStyle="1" w:styleId="KOZEP">
    <w:name w:val="KOZEP"/>
    <w:uiPriority w:val="99"/>
    <w:pPr>
      <w:autoSpaceDE w:val="0"/>
      <w:autoSpaceDN w:val="0"/>
      <w:adjustRightInd w:val="0"/>
      <w:spacing w:line="240" w:lineRule="auto"/>
      <w:jc w:val="center"/>
    </w:pPr>
    <w:rPr>
      <w:rFonts w:ascii="Times New Roman" w:hAnsi="Times New Roman" w:cs="Times New Roman"/>
      <w:sz w:val="20"/>
      <w:szCs w:val="20"/>
    </w:rPr>
  </w:style>
  <w:style w:type="paragraph" w:customStyle="1" w:styleId="BE">
    <w:name w:val="BE"/>
    <w:uiPriority w:val="99"/>
    <w:pPr>
      <w:autoSpaceDE w:val="0"/>
      <w:autoSpaceDN w:val="0"/>
      <w:adjustRightInd w:val="0"/>
      <w:spacing w:after="0" w:line="240" w:lineRule="auto"/>
    </w:pPr>
    <w:rPr>
      <w:rFonts w:ascii="Times New Roman" w:hAnsi="Times New Roman" w:cs="Times New Roman"/>
      <w:sz w:val="20"/>
      <w:szCs w:val="20"/>
    </w:rPr>
  </w:style>
  <w:style w:type="paragraph" w:customStyle="1" w:styleId="ZJ">
    <w:name w:val="ZJ"/>
    <w:uiPriority w:val="99"/>
    <w:pPr>
      <w:autoSpaceDE w:val="0"/>
      <w:autoSpaceDN w:val="0"/>
      <w:adjustRightInd w:val="0"/>
      <w:spacing w:after="0" w:line="240" w:lineRule="auto"/>
      <w:jc w:val="right"/>
    </w:pPr>
    <w:rPr>
      <w:rFonts w:ascii="Times New Roman" w:hAnsi="Times New Roman" w:cs="Times New Roman"/>
      <w:sz w:val="20"/>
      <w:szCs w:val="20"/>
    </w:rPr>
  </w:style>
  <w:style w:type="paragraph" w:customStyle="1" w:styleId="KI">
    <w:name w:val="KI"/>
    <w:uiPriority w:val="99"/>
    <w:pPr>
      <w:autoSpaceDE w:val="0"/>
      <w:autoSpaceDN w:val="0"/>
      <w:adjustRightInd w:val="0"/>
      <w:spacing w:after="0" w:line="240" w:lineRule="auto"/>
      <w:ind w:hanging="300"/>
    </w:pPr>
    <w:rPr>
      <w:rFonts w:ascii="Times New Roman" w:hAnsi="Times New Roman" w:cs="Times New Roman"/>
      <w:sz w:val="20"/>
      <w:szCs w:val="20"/>
    </w:rPr>
  </w:style>
  <w:style w:type="paragraph" w:customStyle="1" w:styleId="N1">
    <w:name w:val="N1"/>
    <w:uiPriority w:val="99"/>
    <w:pPr>
      <w:autoSpaceDE w:val="0"/>
      <w:autoSpaceDN w:val="0"/>
      <w:adjustRightInd w:val="0"/>
      <w:spacing w:before="120" w:after="60" w:line="240" w:lineRule="auto"/>
    </w:pPr>
    <w:rPr>
      <w:rFonts w:ascii="Times New Roman" w:hAnsi="Times New Roman" w:cs="Times New Roman"/>
      <w:b/>
      <w:bCs/>
      <w:sz w:val="20"/>
      <w:szCs w:val="20"/>
    </w:rPr>
  </w:style>
  <w:style w:type="paragraph" w:customStyle="1" w:styleId="N2">
    <w:name w:val="N2"/>
    <w:uiPriority w:val="99"/>
    <w:pPr>
      <w:autoSpaceDE w:val="0"/>
      <w:autoSpaceDN w:val="0"/>
      <w:adjustRightInd w:val="0"/>
      <w:spacing w:after="240" w:line="240" w:lineRule="auto"/>
    </w:pPr>
    <w:rPr>
      <w:rFonts w:ascii="Times New Roman" w:hAnsi="Times New Roman" w:cs="Times New Roman"/>
      <w:b/>
      <w:bCs/>
      <w:sz w:val="20"/>
      <w:szCs w:val="20"/>
    </w:rPr>
  </w:style>
  <w:style w:type="paragraph" w:customStyle="1" w:styleId="N3">
    <w:name w:val="N3"/>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4">
    <w:name w:val="N4"/>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5">
    <w:name w:val="N5"/>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6">
    <w:name w:val="N6"/>
    <w:uiPriority w:val="99"/>
    <w:pPr>
      <w:autoSpaceDE w:val="0"/>
      <w:autoSpaceDN w:val="0"/>
      <w:adjustRightInd w:val="0"/>
      <w:spacing w:before="120" w:after="120" w:line="240" w:lineRule="auto"/>
    </w:pPr>
    <w:rPr>
      <w:rFonts w:ascii="Times New Roman" w:hAnsi="Times New Roman" w:cs="Times New Roman"/>
      <w:b/>
      <w:bCs/>
      <w:sz w:val="20"/>
      <w:szCs w:val="20"/>
    </w:rPr>
  </w:style>
  <w:style w:type="paragraph" w:customStyle="1" w:styleId="N7">
    <w:name w:val="N7"/>
    <w:uiPriority w:val="99"/>
    <w:pPr>
      <w:autoSpaceDE w:val="0"/>
      <w:autoSpaceDN w:val="0"/>
      <w:adjustRightInd w:val="0"/>
      <w:spacing w:before="120" w:after="240" w:line="240" w:lineRule="auto"/>
    </w:pPr>
    <w:rPr>
      <w:rFonts w:ascii="Times New Roman" w:hAnsi="Times New Roman" w:cs="Times New Roman"/>
      <w:i/>
      <w:iCs/>
      <w:sz w:val="20"/>
      <w:szCs w:val="20"/>
    </w:rPr>
  </w:style>
  <w:style w:type="paragraph" w:customStyle="1" w:styleId="U">
    <w:name w:val="U"/>
    <w:uiPriority w:val="99"/>
    <w:pPr>
      <w:autoSpaceDE w:val="0"/>
      <w:autoSpaceDN w:val="0"/>
      <w:adjustRightInd w:val="0"/>
      <w:spacing w:before="120" w:after="120" w:line="240" w:lineRule="auto"/>
    </w:pPr>
    <w:rPr>
      <w:rFonts w:ascii="Times New Roman" w:hAnsi="Times New Roman" w:cs="Times New Roman"/>
      <w:i/>
      <w:iCs/>
      <w:sz w:val="20"/>
      <w:szCs w:val="20"/>
    </w:rPr>
  </w:style>
  <w:style w:type="paragraph" w:customStyle="1" w:styleId="N7B">
    <w:name w:val="N7B"/>
    <w:uiPriority w:val="99"/>
    <w:pPr>
      <w:autoSpaceDE w:val="0"/>
      <w:autoSpaceDN w:val="0"/>
      <w:adjustRightInd w:val="0"/>
      <w:spacing w:line="240" w:lineRule="auto"/>
    </w:pPr>
    <w:rPr>
      <w:rFonts w:ascii="Times New Roman" w:hAnsi="Times New Roman" w:cs="Times New Roman"/>
      <w:b/>
      <w:bCs/>
      <w:sz w:val="20"/>
      <w:szCs w:val="20"/>
    </w:rPr>
  </w:style>
  <w:style w:type="paragraph" w:customStyle="1" w:styleId="ALA00">
    <w:name w:val="ALA00"/>
    <w:uiPriority w:val="99"/>
    <w:pPr>
      <w:autoSpaceDE w:val="0"/>
      <w:autoSpaceDN w:val="0"/>
      <w:adjustRightInd w:val="0"/>
      <w:spacing w:line="240" w:lineRule="auto"/>
      <w:jc w:val="center"/>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adjustRightInd w:val="0"/>
      <w:spacing w:after="20" w:line="240" w:lineRule="auto"/>
      <w:ind w:firstLine="142"/>
      <w:jc w:val="both"/>
    </w:pPr>
    <w:rPr>
      <w:rFonts w:ascii="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1">
    <w:name w:val="C1"/>
    <w:uiPriority w:val="99"/>
    <w:pPr>
      <w:autoSpaceDE w:val="0"/>
      <w:autoSpaceDN w:val="0"/>
      <w:adjustRightInd w:val="0"/>
      <w:spacing w:before="120" w:after="60" w:line="240" w:lineRule="auto"/>
      <w:jc w:val="center"/>
    </w:pPr>
    <w:rPr>
      <w:rFonts w:ascii="Times New Roman" w:hAnsi="Times New Roman" w:cs="Times New Roman"/>
      <w:b/>
      <w:bCs/>
      <w:sz w:val="20"/>
      <w:szCs w:val="20"/>
    </w:rPr>
  </w:style>
  <w:style w:type="paragraph" w:customStyle="1" w:styleId="C2">
    <w:name w:val="C2"/>
    <w:uiPriority w:val="99"/>
    <w:pPr>
      <w:autoSpaceDE w:val="0"/>
      <w:autoSpaceDN w:val="0"/>
      <w:adjustRightInd w:val="0"/>
      <w:spacing w:after="240" w:line="240" w:lineRule="auto"/>
      <w:jc w:val="center"/>
    </w:pPr>
    <w:rPr>
      <w:rFonts w:ascii="Times New Roman" w:hAnsi="Times New Roman" w:cs="Times New Roman"/>
      <w:b/>
      <w:bCs/>
      <w:sz w:val="20"/>
      <w:szCs w:val="20"/>
    </w:rPr>
  </w:style>
  <w:style w:type="paragraph" w:customStyle="1" w:styleId="C3">
    <w:name w:val="C3"/>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4">
    <w:name w:val="C4"/>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5">
    <w:name w:val="C5"/>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6">
    <w:name w:val="C6"/>
    <w:uiPriority w:val="99"/>
    <w:pPr>
      <w:autoSpaceDE w:val="0"/>
      <w:autoSpaceDN w:val="0"/>
      <w:adjustRightInd w:val="0"/>
      <w:spacing w:before="120" w:after="120" w:line="240" w:lineRule="auto"/>
      <w:jc w:val="center"/>
    </w:pPr>
    <w:rPr>
      <w:rFonts w:ascii="Times New Roman" w:hAnsi="Times New Roman" w:cs="Times New Roman"/>
      <w:b/>
      <w:bCs/>
      <w:sz w:val="20"/>
      <w:szCs w:val="20"/>
    </w:rPr>
  </w:style>
  <w:style w:type="paragraph" w:customStyle="1" w:styleId="C7">
    <w:name w:val="C7"/>
    <w:uiPriority w:val="99"/>
    <w:pPr>
      <w:autoSpaceDE w:val="0"/>
      <w:autoSpaceDN w:val="0"/>
      <w:adjustRightInd w:val="0"/>
      <w:spacing w:before="120" w:after="240" w:line="240" w:lineRule="auto"/>
      <w:jc w:val="center"/>
    </w:pPr>
    <w:rPr>
      <w:rFonts w:ascii="Times New Roman" w:hAnsi="Times New Roman" w:cs="Times New Roman"/>
      <w:i/>
      <w:iCs/>
      <w:sz w:val="20"/>
      <w:szCs w:val="20"/>
    </w:rPr>
  </w:style>
  <w:style w:type="paragraph" w:customStyle="1" w:styleId="M">
    <w:name w:val="M"/>
    <w:uiPriority w:val="99"/>
    <w:pPr>
      <w:autoSpaceDE w:val="0"/>
      <w:autoSpaceDN w:val="0"/>
      <w:adjustRightInd w:val="0"/>
      <w:spacing w:before="120" w:after="120" w:line="240" w:lineRule="auto"/>
      <w:jc w:val="both"/>
    </w:pPr>
    <w:rPr>
      <w:rFonts w:ascii="Times New Roman" w:hAnsi="Times New Roman" w:cs="Times New Roman"/>
      <w:i/>
      <w:iCs/>
      <w:sz w:val="20"/>
      <w:szCs w:val="20"/>
      <w:u w:val="single"/>
    </w:rPr>
  </w:style>
  <w:style w:type="paragraph" w:customStyle="1" w:styleId="LN">
    <w:name w:val="LN"/>
    <w:uiPriority w:val="99"/>
    <w:pPr>
      <w:autoSpaceDE w:val="0"/>
      <w:autoSpaceDN w:val="0"/>
      <w:adjustRightInd w:val="0"/>
      <w:spacing w:before="80" w:after="0" w:line="240" w:lineRule="auto"/>
      <w:jc w:val="both"/>
    </w:pPr>
    <w:rPr>
      <w:rFonts w:ascii="Times New Roman" w:hAnsi="Times New Roman" w:cs="Times New Roman"/>
      <w:sz w:val="20"/>
      <w:szCs w:val="20"/>
    </w:rPr>
  </w:style>
  <w:style w:type="paragraph" w:customStyle="1" w:styleId="C7B">
    <w:name w:val="C7B"/>
    <w:uiPriority w:val="99"/>
    <w:pPr>
      <w:autoSpaceDE w:val="0"/>
      <w:autoSpaceDN w:val="0"/>
      <w:adjustRightInd w:val="0"/>
      <w:spacing w:line="240" w:lineRule="auto"/>
      <w:jc w:val="center"/>
    </w:pPr>
    <w:rPr>
      <w:rFonts w:ascii="Times New Roman" w:hAnsi="Times New Roman" w:cs="Times New Roman"/>
      <w:b/>
      <w:bCs/>
      <w:sz w:val="20"/>
      <w:szCs w:val="20"/>
    </w:rPr>
  </w:style>
  <w:style w:type="paragraph" w:customStyle="1" w:styleId="DOLT">
    <w:name w:val="DOLT"/>
    <w:uiPriority w:val="99"/>
    <w:pPr>
      <w:autoSpaceDE w:val="0"/>
      <w:autoSpaceDN w:val="0"/>
      <w:adjustRightInd w:val="0"/>
      <w:spacing w:after="0" w:line="240" w:lineRule="auto"/>
      <w:ind w:firstLine="180"/>
      <w:jc w:val="both"/>
    </w:pPr>
    <w:rPr>
      <w:rFonts w:ascii="Times New Roman" w:hAnsi="Times New Roman" w:cs="Times New Roman"/>
      <w:i/>
      <w:iCs/>
      <w:sz w:val="20"/>
      <w:szCs w:val="20"/>
    </w:rPr>
  </w:style>
  <w:style w:type="paragraph" w:customStyle="1" w:styleId="BOLD">
    <w:name w:val="BOLD"/>
    <w:uiPriority w:val="99"/>
    <w:pPr>
      <w:autoSpaceDE w:val="0"/>
      <w:autoSpaceDN w:val="0"/>
      <w:adjustRightInd w:val="0"/>
      <w:spacing w:after="0" w:line="240" w:lineRule="auto"/>
      <w:ind w:firstLine="180"/>
      <w:jc w:val="both"/>
    </w:pPr>
    <w:rPr>
      <w:rFonts w:ascii="Times New Roman" w:hAnsi="Times New Roman" w:cs="Times New Roman"/>
      <w:b/>
      <w:bCs/>
      <w:sz w:val="20"/>
      <w:szCs w:val="20"/>
    </w:rPr>
  </w:style>
  <w:style w:type="paragraph" w:customStyle="1" w:styleId="KOZEP">
    <w:name w:val="KOZEP"/>
    <w:uiPriority w:val="99"/>
    <w:pPr>
      <w:autoSpaceDE w:val="0"/>
      <w:autoSpaceDN w:val="0"/>
      <w:adjustRightInd w:val="0"/>
      <w:spacing w:line="240" w:lineRule="auto"/>
      <w:jc w:val="center"/>
    </w:pPr>
    <w:rPr>
      <w:rFonts w:ascii="Times New Roman" w:hAnsi="Times New Roman" w:cs="Times New Roman"/>
      <w:sz w:val="20"/>
      <w:szCs w:val="20"/>
    </w:rPr>
  </w:style>
  <w:style w:type="paragraph" w:customStyle="1" w:styleId="BE">
    <w:name w:val="BE"/>
    <w:uiPriority w:val="99"/>
    <w:pPr>
      <w:autoSpaceDE w:val="0"/>
      <w:autoSpaceDN w:val="0"/>
      <w:adjustRightInd w:val="0"/>
      <w:spacing w:after="0" w:line="240" w:lineRule="auto"/>
    </w:pPr>
    <w:rPr>
      <w:rFonts w:ascii="Times New Roman" w:hAnsi="Times New Roman" w:cs="Times New Roman"/>
      <w:sz w:val="20"/>
      <w:szCs w:val="20"/>
    </w:rPr>
  </w:style>
  <w:style w:type="paragraph" w:customStyle="1" w:styleId="ZJ">
    <w:name w:val="ZJ"/>
    <w:uiPriority w:val="99"/>
    <w:pPr>
      <w:autoSpaceDE w:val="0"/>
      <w:autoSpaceDN w:val="0"/>
      <w:adjustRightInd w:val="0"/>
      <w:spacing w:after="0" w:line="240" w:lineRule="auto"/>
      <w:jc w:val="right"/>
    </w:pPr>
    <w:rPr>
      <w:rFonts w:ascii="Times New Roman" w:hAnsi="Times New Roman" w:cs="Times New Roman"/>
      <w:sz w:val="20"/>
      <w:szCs w:val="20"/>
    </w:rPr>
  </w:style>
  <w:style w:type="paragraph" w:customStyle="1" w:styleId="KI">
    <w:name w:val="KI"/>
    <w:uiPriority w:val="99"/>
    <w:pPr>
      <w:autoSpaceDE w:val="0"/>
      <w:autoSpaceDN w:val="0"/>
      <w:adjustRightInd w:val="0"/>
      <w:spacing w:after="0" w:line="240" w:lineRule="auto"/>
      <w:ind w:hanging="300"/>
    </w:pPr>
    <w:rPr>
      <w:rFonts w:ascii="Times New Roman" w:hAnsi="Times New Roman" w:cs="Times New Roman"/>
      <w:sz w:val="20"/>
      <w:szCs w:val="20"/>
    </w:rPr>
  </w:style>
  <w:style w:type="paragraph" w:customStyle="1" w:styleId="N1">
    <w:name w:val="N1"/>
    <w:uiPriority w:val="99"/>
    <w:pPr>
      <w:autoSpaceDE w:val="0"/>
      <w:autoSpaceDN w:val="0"/>
      <w:adjustRightInd w:val="0"/>
      <w:spacing w:before="120" w:after="60" w:line="240" w:lineRule="auto"/>
    </w:pPr>
    <w:rPr>
      <w:rFonts w:ascii="Times New Roman" w:hAnsi="Times New Roman" w:cs="Times New Roman"/>
      <w:b/>
      <w:bCs/>
      <w:sz w:val="20"/>
      <w:szCs w:val="20"/>
    </w:rPr>
  </w:style>
  <w:style w:type="paragraph" w:customStyle="1" w:styleId="N2">
    <w:name w:val="N2"/>
    <w:uiPriority w:val="99"/>
    <w:pPr>
      <w:autoSpaceDE w:val="0"/>
      <w:autoSpaceDN w:val="0"/>
      <w:adjustRightInd w:val="0"/>
      <w:spacing w:after="240" w:line="240" w:lineRule="auto"/>
    </w:pPr>
    <w:rPr>
      <w:rFonts w:ascii="Times New Roman" w:hAnsi="Times New Roman" w:cs="Times New Roman"/>
      <w:b/>
      <w:bCs/>
      <w:sz w:val="20"/>
      <w:szCs w:val="20"/>
    </w:rPr>
  </w:style>
  <w:style w:type="paragraph" w:customStyle="1" w:styleId="N3">
    <w:name w:val="N3"/>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4">
    <w:name w:val="N4"/>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5">
    <w:name w:val="N5"/>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6">
    <w:name w:val="N6"/>
    <w:uiPriority w:val="99"/>
    <w:pPr>
      <w:autoSpaceDE w:val="0"/>
      <w:autoSpaceDN w:val="0"/>
      <w:adjustRightInd w:val="0"/>
      <w:spacing w:before="120" w:after="120" w:line="240" w:lineRule="auto"/>
    </w:pPr>
    <w:rPr>
      <w:rFonts w:ascii="Times New Roman" w:hAnsi="Times New Roman" w:cs="Times New Roman"/>
      <w:b/>
      <w:bCs/>
      <w:sz w:val="20"/>
      <w:szCs w:val="20"/>
    </w:rPr>
  </w:style>
  <w:style w:type="paragraph" w:customStyle="1" w:styleId="N7">
    <w:name w:val="N7"/>
    <w:uiPriority w:val="99"/>
    <w:pPr>
      <w:autoSpaceDE w:val="0"/>
      <w:autoSpaceDN w:val="0"/>
      <w:adjustRightInd w:val="0"/>
      <w:spacing w:before="120" w:after="240" w:line="240" w:lineRule="auto"/>
    </w:pPr>
    <w:rPr>
      <w:rFonts w:ascii="Times New Roman" w:hAnsi="Times New Roman" w:cs="Times New Roman"/>
      <w:i/>
      <w:iCs/>
      <w:sz w:val="20"/>
      <w:szCs w:val="20"/>
    </w:rPr>
  </w:style>
  <w:style w:type="paragraph" w:customStyle="1" w:styleId="U">
    <w:name w:val="U"/>
    <w:uiPriority w:val="99"/>
    <w:pPr>
      <w:autoSpaceDE w:val="0"/>
      <w:autoSpaceDN w:val="0"/>
      <w:adjustRightInd w:val="0"/>
      <w:spacing w:before="120" w:after="120" w:line="240" w:lineRule="auto"/>
    </w:pPr>
    <w:rPr>
      <w:rFonts w:ascii="Times New Roman" w:hAnsi="Times New Roman" w:cs="Times New Roman"/>
      <w:i/>
      <w:iCs/>
      <w:sz w:val="20"/>
      <w:szCs w:val="20"/>
    </w:rPr>
  </w:style>
  <w:style w:type="paragraph" w:customStyle="1" w:styleId="N7B">
    <w:name w:val="N7B"/>
    <w:uiPriority w:val="99"/>
    <w:pPr>
      <w:autoSpaceDE w:val="0"/>
      <w:autoSpaceDN w:val="0"/>
      <w:adjustRightInd w:val="0"/>
      <w:spacing w:line="240" w:lineRule="auto"/>
    </w:pPr>
    <w:rPr>
      <w:rFonts w:ascii="Times New Roman" w:hAnsi="Times New Roman" w:cs="Times New Roman"/>
      <w:b/>
      <w:bCs/>
      <w:sz w:val="20"/>
      <w:szCs w:val="20"/>
    </w:rPr>
  </w:style>
  <w:style w:type="paragraph" w:customStyle="1" w:styleId="ALA00">
    <w:name w:val="ALA00"/>
    <w:uiPriority w:val="99"/>
    <w:pPr>
      <w:autoSpaceDE w:val="0"/>
      <w:autoSpaceDN w:val="0"/>
      <w:adjustRightInd w:val="0"/>
      <w:spacing w:line="240" w:lineRule="auto"/>
      <w:jc w:val="center"/>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4696</Words>
  <Characters>32403</Characters>
  <Application>Microsoft Office Word</Application>
  <DocSecurity>0</DocSecurity>
  <Lines>270</Lines>
  <Paragraphs>74</Paragraphs>
  <ScaleCrop>false</ScaleCrop>
  <Company>MHK</Company>
  <LinksUpToDate>false</LinksUpToDate>
  <CharactersWithSpaces>37025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janto.peter</dc:creator>
  <cp:lastModifiedBy>janto.peter</cp:lastModifiedBy>
  <cp:revision>2</cp:revision>
  <dcterms:created xsi:type="dcterms:W3CDTF">2024-07-02T10:16:00Z</dcterms:created>
  <dcterms:modified xsi:type="dcterms:W3CDTF">2024-07-02T10:16:00Z</dcterms:modified>
</cp:coreProperties>
</file>